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customXml/item1.xml" ContentType="application/xml"/>
  <Override PartName="/customXml/item2.xml" ContentType="application/xml"/>
  <Override PartName="/customXml/itemProps1.xml" ContentType="application/vnd.openxmlformats-officedocument.customXmlProperties+xml"/>
  <Override PartName="/customXml/item3.xml" ContentType="application/xml"/>
  <Override PartName="/customXml/itemProps2.xml" ContentType="application/vnd.openxmlformats-officedocument.customXmlProperties+xml"/>
  <Override PartName="/customXml/item4.xml" ContentType="application/xml"/>
  <Override PartName="/customXml/itemProps3.xml" ContentType="application/vnd.openxmlformats-officedocument.customXmlProperties+xml"/>
  <Override PartName="/customXml/itemProps4.xml" ContentType="application/vnd.openxmlformats-officedocument.customXmlProperties+xml"/>
  <Override PartName="/customXml/_rels/item1.xml.rels" ContentType="application/vnd.openxmlformats-package.relationships+xml"/>
  <Override PartName="/customXml/_rels/item2.xml.rels" ContentType="application/vnd.openxmlformats-package.relationships+xml"/>
  <Override PartName="/customXml/_rels/item3.xml.rels" ContentType="application/vnd.openxmlformats-package.relationships+xml"/>
  <Override PartName="/customXml/_rels/item4.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76"/>
        <w:ind w:firstLine="1276" w:left="4253"/>
        <w:rPr>
          <w:bCs/>
          <w:caps/>
        </w:rPr>
      </w:pPr>
      <w:r>
        <w:rPr>
          <w:bCs/>
          <w:caps/>
        </w:rPr>
        <w:t xml:space="preserve">  </w:t>
      </w:r>
      <w:r>
        <w:rPr>
          <w:bCs/>
          <w:caps/>
        </w:rPr>
        <w:tab/>
        <w:tab/>
      </w:r>
      <w:r>
        <w:rPr>
          <w:b/>
          <w:bCs/>
          <w:caps/>
        </w:rPr>
        <w:t>Projektas</w:t>
      </w:r>
    </w:p>
    <w:p>
      <w:pPr>
        <w:pStyle w:val="Normal"/>
        <w:spacing w:lineRule="auto" w:line="276"/>
        <w:ind w:firstLine="1276" w:left="4253"/>
        <w:rPr>
          <w:bCs/>
          <w:caps/>
        </w:rPr>
      </w:pPr>
      <w:r>
        <w:rPr/>
      </w:r>
    </w:p>
    <w:p>
      <w:pPr>
        <w:pStyle w:val="Normal"/>
        <w:widowControl w:val="false"/>
        <w:tabs>
          <w:tab w:val="clear" w:pos="1296"/>
          <w:tab w:val="left" w:pos="567" w:leader="none"/>
          <w:tab w:val="left" w:pos="851" w:leader="none"/>
        </w:tabs>
        <w:jc w:val="center"/>
        <w:rPr>
          <w:b/>
          <w:bCs/>
          <w:caps/>
          <w:szCs w:val="24"/>
        </w:rPr>
      </w:pPr>
      <w:r>
        <w:rPr>
          <w:b/>
          <w:bCs/>
          <w:caps/>
          <w:szCs w:val="24"/>
        </w:rPr>
        <w:t>paslaugų pirkimo-pardavimo sutarties Specialiosios sąlygos</w:t>
      </w:r>
    </w:p>
    <w:p>
      <w:pPr>
        <w:pStyle w:val="Normal"/>
        <w:widowControl w:val="false"/>
        <w:tabs>
          <w:tab w:val="clear" w:pos="1296"/>
          <w:tab w:val="left" w:pos="567" w:leader="none"/>
          <w:tab w:val="left" w:pos="851" w:leader="none"/>
        </w:tabs>
        <w:jc w:val="center"/>
        <w:rPr>
          <w:b/>
          <w:bCs/>
          <w:caps/>
          <w:szCs w:val="24"/>
        </w:rPr>
      </w:pPr>
      <w:r>
        <w:rPr>
          <w:b/>
          <w:bCs/>
          <w:caps/>
          <w:szCs w:val="24"/>
        </w:rPr>
      </w:r>
    </w:p>
    <w:p>
      <w:pPr>
        <w:pStyle w:val="Normal"/>
        <w:tabs>
          <w:tab w:val="clear" w:pos="1296"/>
          <w:tab w:val="left" w:pos="5400" w:leader="none"/>
        </w:tabs>
        <w:textAlignment w:val="center"/>
        <w:rPr>
          <w:szCs w:val="24"/>
        </w:rPr>
      </w:pPr>
      <w:r>
        <w:rPr>
          <w:szCs w:val="24"/>
        </w:rPr>
      </w:r>
    </w:p>
    <w:tbl>
      <w:tblPr>
        <w:tblW w:w="9558"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2443"/>
        <w:gridCol w:w="2182"/>
        <w:gridCol w:w="2361"/>
        <w:gridCol w:w="2571"/>
      </w:tblGrid>
      <w:tr>
        <w:trPr/>
        <w:tc>
          <w:tcPr>
            <w:tcW w:w="2443" w:type="dxa"/>
            <w:tcBorders>
              <w:top w:val="single" w:sz="4" w:space="0" w:color="000000"/>
              <w:left w:val="single" w:sz="4" w:space="0" w:color="000000"/>
              <w:bottom w:val="single" w:sz="4" w:space="0" w:color="000000"/>
              <w:right w:val="single" w:sz="4" w:space="0" w:color="000000"/>
            </w:tcBorders>
          </w:tcPr>
          <w:p>
            <w:pPr>
              <w:pStyle w:val="Normal"/>
              <w:jc w:val="both"/>
              <w:rPr>
                <w:b/>
                <w:kern w:val="2"/>
                <w:szCs w:val="24"/>
              </w:rPr>
            </w:pPr>
            <w:r>
              <w:rPr>
                <w:b/>
                <w:kern w:val="2"/>
                <w:szCs w:val="24"/>
              </w:rPr>
              <w:t>Sutarties pavadinimas</w:t>
            </w:r>
          </w:p>
        </w:tc>
        <w:tc>
          <w:tcPr>
            <w:tcW w:w="7114" w:type="dxa"/>
            <w:gridSpan w:val="3"/>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Arial" w:hAnsi="Arial" w:cs="Arial"/>
                <w:b/>
                <w:bCs/>
                <w:caps/>
                <w:sz w:val="28"/>
                <w:szCs w:val="28"/>
                <w:shd w:fill="FFFFFF" w:val="clear"/>
              </w:rPr>
            </w:pPr>
            <w:r>
              <w:rPr>
                <w:rFonts w:cs="Arial" w:ascii="Arial" w:hAnsi="Arial"/>
                <w:b/>
                <w:bCs/>
                <w:sz w:val="28"/>
                <w:szCs w:val="28"/>
                <w:shd w:fill="FFFFFF" w:val="clear"/>
              </w:rPr>
              <w:t>BALBIERIŠKIO DVARO SODYBOS PARKO PRIENŲ R. SAV. TVARKYBOS DARBŲ PROJEKTAVIMAS</w:t>
            </w:r>
          </w:p>
        </w:tc>
      </w:tr>
      <w:tr>
        <w:trPr/>
        <w:tc>
          <w:tcPr>
            <w:tcW w:w="2443" w:type="dxa"/>
            <w:tcBorders>
              <w:top w:val="single" w:sz="4" w:space="0" w:color="000000"/>
              <w:left w:val="single" w:sz="4" w:space="0" w:color="000000"/>
              <w:bottom w:val="single" w:sz="4" w:space="0" w:color="000000"/>
              <w:right w:val="single" w:sz="4" w:space="0" w:color="000000"/>
            </w:tcBorders>
          </w:tcPr>
          <w:p>
            <w:pPr>
              <w:pStyle w:val="Normal"/>
              <w:jc w:val="both"/>
              <w:rPr>
                <w:b/>
                <w:kern w:val="2"/>
                <w:szCs w:val="24"/>
              </w:rPr>
            </w:pPr>
            <w:r>
              <w:rPr>
                <w:b/>
                <w:kern w:val="2"/>
                <w:szCs w:val="24"/>
              </w:rPr>
              <w:t>Sutarties data</w:t>
            </w:r>
          </w:p>
        </w:tc>
        <w:tc>
          <w:tcPr>
            <w:tcW w:w="2182" w:type="dxa"/>
            <w:tcBorders>
              <w:top w:val="single" w:sz="4" w:space="0" w:color="000000"/>
              <w:left w:val="single" w:sz="4" w:space="0" w:color="000000"/>
              <w:bottom w:val="single" w:sz="4" w:space="0" w:color="000000"/>
              <w:right w:val="single" w:sz="4" w:space="0" w:color="000000"/>
            </w:tcBorders>
          </w:tcPr>
          <w:p>
            <w:pPr>
              <w:pStyle w:val="Normal"/>
              <w:jc w:val="both"/>
              <w:rPr>
                <w:kern w:val="2"/>
                <w:szCs w:val="24"/>
              </w:rPr>
            </w:pPr>
            <w:r>
              <w:rPr>
                <w:kern w:val="2"/>
                <w:szCs w:val="24"/>
              </w:rPr>
            </w:r>
          </w:p>
        </w:tc>
        <w:tc>
          <w:tcPr>
            <w:tcW w:w="2361" w:type="dxa"/>
            <w:tcBorders>
              <w:top w:val="single" w:sz="4" w:space="0" w:color="000000"/>
              <w:left w:val="single" w:sz="4" w:space="0" w:color="000000"/>
              <w:bottom w:val="single" w:sz="4" w:space="0" w:color="000000"/>
              <w:right w:val="single" w:sz="4" w:space="0" w:color="000000"/>
            </w:tcBorders>
          </w:tcPr>
          <w:p>
            <w:pPr>
              <w:pStyle w:val="Normal"/>
              <w:jc w:val="both"/>
              <w:rPr>
                <w:b/>
                <w:kern w:val="2"/>
                <w:szCs w:val="24"/>
              </w:rPr>
            </w:pPr>
            <w:r>
              <w:rPr>
                <w:b/>
                <w:kern w:val="2"/>
                <w:szCs w:val="24"/>
              </w:rPr>
              <w:t>Sutarties numeris</w:t>
            </w:r>
          </w:p>
        </w:tc>
        <w:tc>
          <w:tcPr>
            <w:tcW w:w="2571" w:type="dxa"/>
            <w:tcBorders>
              <w:top w:val="single" w:sz="4" w:space="0" w:color="000000"/>
              <w:left w:val="single" w:sz="4" w:space="0" w:color="000000"/>
              <w:bottom w:val="single" w:sz="4" w:space="0" w:color="000000"/>
              <w:right w:val="single" w:sz="4" w:space="0" w:color="000000"/>
            </w:tcBorders>
          </w:tcPr>
          <w:p>
            <w:pPr>
              <w:pStyle w:val="Normal"/>
              <w:jc w:val="both"/>
              <w:rPr>
                <w:kern w:val="2"/>
                <w:szCs w:val="24"/>
              </w:rPr>
            </w:pPr>
            <w:r>
              <w:rPr>
                <w:kern w:val="2"/>
                <w:szCs w:val="24"/>
              </w:rPr>
            </w:r>
          </w:p>
        </w:tc>
      </w:tr>
    </w:tbl>
    <w:p>
      <w:pPr>
        <w:pStyle w:val="Normal"/>
        <w:jc w:val="both"/>
        <w:rPr>
          <w:szCs w:val="24"/>
        </w:rPr>
      </w:pPr>
      <w:r>
        <w:rPr>
          <w:szCs w:val="24"/>
        </w:rPr>
      </w:r>
    </w:p>
    <w:tbl>
      <w:tblPr>
        <w:tblW w:w="9558"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2808"/>
        <w:gridCol w:w="3240"/>
        <w:gridCol w:w="3510"/>
      </w:tblGrid>
      <w:tr>
        <w:trPr/>
        <w:tc>
          <w:tcPr>
            <w:tcW w:w="9558" w:type="dxa"/>
            <w:gridSpan w:val="3"/>
            <w:tcBorders>
              <w:top w:val="single" w:sz="4" w:space="0" w:color="000000"/>
              <w:left w:val="single" w:sz="4" w:space="0" w:color="000000"/>
              <w:bottom w:val="single" w:sz="4" w:space="0" w:color="000000"/>
              <w:right w:val="single" w:sz="4" w:space="0" w:color="000000"/>
            </w:tcBorders>
          </w:tcPr>
          <w:p>
            <w:pPr>
              <w:pStyle w:val="Normal"/>
              <w:jc w:val="center"/>
              <w:rPr>
                <w:b/>
                <w:kern w:val="2"/>
                <w:szCs w:val="24"/>
              </w:rPr>
            </w:pPr>
            <w:r>
              <w:rPr>
                <w:b/>
                <w:kern w:val="2"/>
                <w:szCs w:val="24"/>
              </w:rPr>
              <w:t>1. SUTARTIES ŠALYS</w:t>
            </w:r>
          </w:p>
        </w:tc>
      </w:tr>
      <w:tr>
        <w:trPr/>
        <w:tc>
          <w:tcPr>
            <w:tcW w:w="2808" w:type="dxa"/>
            <w:vMerge w:val="restart"/>
            <w:tcBorders>
              <w:top w:val="single" w:sz="4" w:space="0" w:color="000000"/>
              <w:left w:val="single" w:sz="4" w:space="0" w:color="000000"/>
              <w:bottom w:val="single" w:sz="4" w:space="0" w:color="000000"/>
              <w:right w:val="single" w:sz="4" w:space="0" w:color="000000"/>
            </w:tcBorders>
          </w:tcPr>
          <w:p>
            <w:pPr>
              <w:pStyle w:val="Normal"/>
              <w:jc w:val="center"/>
              <w:rPr>
                <w:b/>
                <w:kern w:val="2"/>
                <w:szCs w:val="24"/>
              </w:rPr>
            </w:pPr>
            <w:r>
              <w:rPr>
                <w:b/>
                <w:kern w:val="2"/>
                <w:szCs w:val="24"/>
              </w:rPr>
            </w:r>
          </w:p>
          <w:p>
            <w:pPr>
              <w:pStyle w:val="Normal"/>
              <w:jc w:val="center"/>
              <w:rPr>
                <w:b/>
                <w:kern w:val="2"/>
                <w:szCs w:val="24"/>
              </w:rPr>
            </w:pPr>
            <w:r>
              <w:rPr>
                <w:b/>
                <w:kern w:val="2"/>
                <w:szCs w:val="24"/>
              </w:rPr>
            </w:r>
          </w:p>
          <w:p>
            <w:pPr>
              <w:pStyle w:val="Normal"/>
              <w:jc w:val="center"/>
              <w:rPr>
                <w:b/>
                <w:kern w:val="2"/>
                <w:szCs w:val="24"/>
              </w:rPr>
            </w:pPr>
            <w:r>
              <w:rPr>
                <w:b/>
                <w:kern w:val="2"/>
                <w:szCs w:val="24"/>
              </w:rPr>
            </w:r>
          </w:p>
          <w:p>
            <w:pPr>
              <w:pStyle w:val="Normal"/>
              <w:rPr>
                <w:b/>
                <w:kern w:val="2"/>
                <w:szCs w:val="24"/>
              </w:rPr>
            </w:pPr>
            <w:r>
              <w:rPr>
                <w:b/>
                <w:kern w:val="2"/>
                <w:szCs w:val="24"/>
              </w:rPr>
            </w:r>
          </w:p>
          <w:p>
            <w:pPr>
              <w:pStyle w:val="Normal"/>
              <w:rPr>
                <w:b/>
                <w:kern w:val="2"/>
                <w:szCs w:val="24"/>
              </w:rPr>
            </w:pPr>
            <w:r>
              <w:rPr>
                <w:b/>
                <w:kern w:val="2"/>
                <w:szCs w:val="24"/>
              </w:rPr>
              <w:t>1.1. Pirkėjas</w:t>
            </w:r>
          </w:p>
        </w:tc>
        <w:tc>
          <w:tcPr>
            <w:tcW w:w="3240" w:type="dxa"/>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1.1.1. Pavadinimas</w:t>
            </w:r>
          </w:p>
        </w:tc>
        <w:tc>
          <w:tcPr>
            <w:tcW w:w="3510" w:type="dxa"/>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Prienų rajono savivaldybės administracija</w:t>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1.1.2. Juridinio asmens kodas</w:t>
            </w:r>
          </w:p>
        </w:tc>
        <w:tc>
          <w:tcPr>
            <w:tcW w:w="3510" w:type="dxa"/>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288742590</w:t>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1.1.3. Adresas</w:t>
            </w:r>
          </w:p>
        </w:tc>
        <w:tc>
          <w:tcPr>
            <w:tcW w:w="3510" w:type="dxa"/>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Laisvės a. 12, LT 59126 Prienai</w:t>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1.1.4. PVM mokėtojo kodas</w:t>
            </w:r>
          </w:p>
        </w:tc>
        <w:tc>
          <w:tcPr>
            <w:tcW w:w="3510" w:type="dxa"/>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Ne PVM mokėtojas</w:t>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1.1.5. Atsiskaitomoji sąskaita</w:t>
            </w:r>
          </w:p>
        </w:tc>
        <w:tc>
          <w:tcPr>
            <w:tcW w:w="3510" w:type="dxa"/>
            <w:tcBorders>
              <w:top w:val="single" w:sz="4" w:space="0" w:color="000000"/>
              <w:left w:val="single" w:sz="4" w:space="0" w:color="000000"/>
              <w:bottom w:val="single" w:sz="4" w:space="0" w:color="000000"/>
              <w:right w:val="single" w:sz="4" w:space="0" w:color="000000"/>
            </w:tcBorders>
          </w:tcPr>
          <w:p>
            <w:pPr>
              <w:pStyle w:val="Normal"/>
              <w:rPr/>
            </w:pPr>
            <w:r>
              <w:rPr>
                <w:rFonts w:cs="Arial"/>
                <w:kern w:val="2"/>
                <w:szCs w:val="24"/>
              </w:rPr>
              <w:t>LT087300010076935559</w:t>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1.1.6. Bankas, banko kodas</w:t>
            </w:r>
          </w:p>
        </w:tc>
        <w:tc>
          <w:tcPr>
            <w:tcW w:w="3510" w:type="dxa"/>
            <w:tcBorders>
              <w:top w:val="single" w:sz="4" w:space="0" w:color="000000"/>
              <w:left w:val="single" w:sz="4" w:space="0" w:color="000000"/>
              <w:bottom w:val="single" w:sz="4" w:space="0" w:color="000000"/>
              <w:right w:val="single" w:sz="4" w:space="0" w:color="000000"/>
            </w:tcBorders>
          </w:tcPr>
          <w:p>
            <w:pPr>
              <w:pStyle w:val="Normal"/>
              <w:rPr/>
            </w:pPr>
            <w:r>
              <w:rPr>
                <w:rFonts w:cs="Arial"/>
                <w:kern w:val="2"/>
                <w:szCs w:val="24"/>
              </w:rPr>
              <w:t>AB bankas „Swedbank“, 73000</w:t>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1.1.7. Telefonas</w:t>
            </w:r>
          </w:p>
        </w:tc>
        <w:tc>
          <w:tcPr>
            <w:tcW w:w="3510" w:type="dxa"/>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+370 319 61149</w:t>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1.1.8. El. paštas</w:t>
            </w:r>
          </w:p>
        </w:tc>
        <w:tc>
          <w:tcPr>
            <w:tcW w:w="3510" w:type="dxa"/>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administracija@prienai.lt</w:t>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1.1.9. Šalies atstovas</w:t>
            </w:r>
          </w:p>
        </w:tc>
        <w:tc>
          <w:tcPr>
            <w:tcW w:w="3510" w:type="dxa"/>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Direktorė Jūratė Mickevičienė</w:t>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1.1.10. Atstovavimo pagrindas</w:t>
            </w:r>
          </w:p>
        </w:tc>
        <w:tc>
          <w:tcPr>
            <w:tcW w:w="3510" w:type="dxa"/>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Įstaigos nuostatai</w:t>
            </w:r>
          </w:p>
        </w:tc>
      </w:tr>
      <w:tr>
        <w:trPr/>
        <w:tc>
          <w:tcPr>
            <w:tcW w:w="2808" w:type="dxa"/>
            <w:vMerge w:val="restart"/>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r>
          </w:p>
          <w:p>
            <w:pPr>
              <w:pStyle w:val="Normal"/>
              <w:rPr>
                <w:b/>
                <w:kern w:val="2"/>
                <w:szCs w:val="24"/>
              </w:rPr>
            </w:pPr>
            <w:r>
              <w:rPr>
                <w:b/>
                <w:kern w:val="2"/>
                <w:szCs w:val="24"/>
              </w:rPr>
            </w:r>
          </w:p>
          <w:p>
            <w:pPr>
              <w:pStyle w:val="Normal"/>
              <w:rPr>
                <w:b/>
                <w:kern w:val="2"/>
                <w:szCs w:val="24"/>
              </w:rPr>
            </w:pPr>
            <w:r>
              <w:rPr>
                <w:b/>
                <w:kern w:val="2"/>
                <w:szCs w:val="24"/>
              </w:rPr>
            </w:r>
          </w:p>
          <w:p>
            <w:pPr>
              <w:pStyle w:val="Normal"/>
              <w:rPr>
                <w:b/>
                <w:kern w:val="2"/>
                <w:szCs w:val="24"/>
              </w:rPr>
            </w:pPr>
            <w:r>
              <w:rPr>
                <w:b/>
                <w:kern w:val="2"/>
                <w:szCs w:val="24"/>
              </w:rPr>
              <w:t>1.2. Tiekėjas</w:t>
            </w:r>
          </w:p>
          <w:p>
            <w:pPr>
              <w:pStyle w:val="Normal"/>
              <w:rPr>
                <w:color w:val="4472C4"/>
                <w:kern w:val="2"/>
                <w:szCs w:val="24"/>
              </w:rPr>
            </w:pPr>
            <w:r>
              <w:rPr>
                <w:color w:val="4472C4"/>
                <w:kern w:val="2"/>
                <w:szCs w:val="24"/>
              </w:rPr>
              <w:t>(jei Tiekėjas yra fizinis asmuo, skiltys atitinkamai pakoreguojamos.</w:t>
            </w:r>
          </w:p>
          <w:p>
            <w:pPr>
              <w:pStyle w:val="Normal"/>
              <w:rPr>
                <w:color w:val="4472C4"/>
                <w:kern w:val="2"/>
                <w:szCs w:val="24"/>
              </w:rPr>
            </w:pPr>
            <w:r>
              <w:rPr>
                <w:color w:val="4472C4"/>
                <w:kern w:val="2"/>
                <w:szCs w:val="24"/>
              </w:rPr>
              <w:t>Jei Tiekėjas yra tiekėjų grupė, skiltys pildomos įterpiant kiekvieno grupės nario informaciją)</w:t>
            </w:r>
          </w:p>
          <w:p>
            <w:pPr>
              <w:pStyle w:val="Normal"/>
              <w:rPr>
                <w:b/>
                <w:kern w:val="2"/>
                <w:szCs w:val="24"/>
              </w:rPr>
            </w:pPr>
            <w:r>
              <w:rPr>
                <w:b/>
                <w:kern w:val="2"/>
                <w:szCs w:val="24"/>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1.2.1. Pavadinimas</w:t>
            </w:r>
          </w:p>
        </w:tc>
        <w:tc>
          <w:tcPr>
            <w:tcW w:w="3510" w:type="dxa"/>
            <w:tcBorders>
              <w:top w:val="single" w:sz="4" w:space="0" w:color="000000"/>
              <w:left w:val="single" w:sz="4" w:space="0" w:color="000000"/>
              <w:bottom w:val="single" w:sz="4" w:space="0" w:color="000000"/>
              <w:right w:val="single" w:sz="4" w:space="0" w:color="000000"/>
            </w:tcBorders>
          </w:tcPr>
          <w:p>
            <w:pPr>
              <w:pStyle w:val="Normal"/>
              <w:jc w:val="center"/>
              <w:rPr>
                <w:kern w:val="2"/>
                <w:szCs w:val="24"/>
              </w:rPr>
            </w:pPr>
            <w:r>
              <w:rPr>
                <w:kern w:val="2"/>
                <w:szCs w:val="24"/>
              </w:rPr>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1.2.2. Juridinio asmens kodas</w:t>
            </w:r>
          </w:p>
        </w:tc>
        <w:tc>
          <w:tcPr>
            <w:tcW w:w="3510" w:type="dxa"/>
            <w:tcBorders>
              <w:top w:val="single" w:sz="4" w:space="0" w:color="000000"/>
              <w:left w:val="single" w:sz="4" w:space="0" w:color="000000"/>
              <w:bottom w:val="single" w:sz="4" w:space="0" w:color="000000"/>
              <w:right w:val="single" w:sz="4" w:space="0" w:color="000000"/>
            </w:tcBorders>
          </w:tcPr>
          <w:p>
            <w:pPr>
              <w:pStyle w:val="Normal"/>
              <w:jc w:val="center"/>
              <w:rPr>
                <w:kern w:val="2"/>
                <w:szCs w:val="24"/>
              </w:rPr>
            </w:pPr>
            <w:r>
              <w:rPr>
                <w:kern w:val="2"/>
                <w:szCs w:val="24"/>
              </w:rPr>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1.2.3. Adresas</w:t>
            </w:r>
          </w:p>
        </w:tc>
        <w:tc>
          <w:tcPr>
            <w:tcW w:w="3510" w:type="dxa"/>
            <w:tcBorders>
              <w:top w:val="single" w:sz="4" w:space="0" w:color="000000"/>
              <w:left w:val="single" w:sz="4" w:space="0" w:color="000000"/>
              <w:bottom w:val="single" w:sz="4" w:space="0" w:color="000000"/>
              <w:right w:val="single" w:sz="4" w:space="0" w:color="000000"/>
            </w:tcBorders>
          </w:tcPr>
          <w:p>
            <w:pPr>
              <w:pStyle w:val="Normal"/>
              <w:jc w:val="center"/>
              <w:rPr>
                <w:kern w:val="2"/>
                <w:szCs w:val="24"/>
              </w:rPr>
            </w:pPr>
            <w:r>
              <w:rPr>
                <w:kern w:val="2"/>
                <w:szCs w:val="24"/>
              </w:rPr>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1.2.4. PVM mokėtojo kodas</w:t>
            </w:r>
          </w:p>
        </w:tc>
        <w:tc>
          <w:tcPr>
            <w:tcW w:w="3510" w:type="dxa"/>
            <w:tcBorders>
              <w:top w:val="single" w:sz="4" w:space="0" w:color="000000"/>
              <w:left w:val="single" w:sz="4" w:space="0" w:color="000000"/>
              <w:bottom w:val="single" w:sz="4" w:space="0" w:color="000000"/>
              <w:right w:val="single" w:sz="4" w:space="0" w:color="000000"/>
            </w:tcBorders>
          </w:tcPr>
          <w:p>
            <w:pPr>
              <w:pStyle w:val="Normal"/>
              <w:jc w:val="center"/>
              <w:rPr>
                <w:kern w:val="2"/>
                <w:szCs w:val="24"/>
              </w:rPr>
            </w:pPr>
            <w:r>
              <w:rPr>
                <w:kern w:val="2"/>
                <w:szCs w:val="24"/>
              </w:rPr>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1.2.5. Atsiskaitomoji sąskaita</w:t>
            </w:r>
          </w:p>
        </w:tc>
        <w:tc>
          <w:tcPr>
            <w:tcW w:w="3510" w:type="dxa"/>
            <w:tcBorders>
              <w:top w:val="single" w:sz="4" w:space="0" w:color="000000"/>
              <w:left w:val="single" w:sz="4" w:space="0" w:color="000000"/>
              <w:bottom w:val="single" w:sz="4" w:space="0" w:color="000000"/>
              <w:right w:val="single" w:sz="4" w:space="0" w:color="000000"/>
            </w:tcBorders>
          </w:tcPr>
          <w:p>
            <w:pPr>
              <w:pStyle w:val="Normal"/>
              <w:jc w:val="center"/>
              <w:rPr>
                <w:kern w:val="2"/>
                <w:szCs w:val="24"/>
              </w:rPr>
            </w:pPr>
            <w:r>
              <w:rPr>
                <w:kern w:val="2"/>
                <w:szCs w:val="24"/>
              </w:rPr>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1.2.6. Bankas, banko kodas</w:t>
            </w:r>
          </w:p>
        </w:tc>
        <w:tc>
          <w:tcPr>
            <w:tcW w:w="3510" w:type="dxa"/>
            <w:tcBorders>
              <w:top w:val="single" w:sz="4" w:space="0" w:color="000000"/>
              <w:left w:val="single" w:sz="4" w:space="0" w:color="000000"/>
              <w:bottom w:val="single" w:sz="4" w:space="0" w:color="000000"/>
              <w:right w:val="single" w:sz="4" w:space="0" w:color="000000"/>
            </w:tcBorders>
          </w:tcPr>
          <w:p>
            <w:pPr>
              <w:pStyle w:val="Normal"/>
              <w:jc w:val="center"/>
              <w:rPr>
                <w:kern w:val="2"/>
                <w:szCs w:val="24"/>
              </w:rPr>
            </w:pPr>
            <w:r>
              <w:rPr>
                <w:kern w:val="2"/>
                <w:szCs w:val="24"/>
              </w:rPr>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1.2.7. Telefonas</w:t>
            </w:r>
          </w:p>
        </w:tc>
        <w:tc>
          <w:tcPr>
            <w:tcW w:w="3510" w:type="dxa"/>
            <w:tcBorders>
              <w:top w:val="single" w:sz="4" w:space="0" w:color="000000"/>
              <w:left w:val="single" w:sz="4" w:space="0" w:color="000000"/>
              <w:bottom w:val="single" w:sz="4" w:space="0" w:color="000000"/>
              <w:right w:val="single" w:sz="4" w:space="0" w:color="000000"/>
            </w:tcBorders>
          </w:tcPr>
          <w:p>
            <w:pPr>
              <w:pStyle w:val="Normal"/>
              <w:jc w:val="center"/>
              <w:rPr>
                <w:kern w:val="2"/>
                <w:szCs w:val="24"/>
              </w:rPr>
            </w:pPr>
            <w:r>
              <w:rPr>
                <w:kern w:val="2"/>
                <w:szCs w:val="24"/>
              </w:rPr>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1.2.8. El. paštas</w:t>
            </w:r>
          </w:p>
        </w:tc>
        <w:tc>
          <w:tcPr>
            <w:tcW w:w="3510" w:type="dxa"/>
            <w:tcBorders>
              <w:top w:val="single" w:sz="4" w:space="0" w:color="000000"/>
              <w:left w:val="single" w:sz="4" w:space="0" w:color="000000"/>
              <w:bottom w:val="single" w:sz="4" w:space="0" w:color="000000"/>
              <w:right w:val="single" w:sz="4" w:space="0" w:color="000000"/>
            </w:tcBorders>
          </w:tcPr>
          <w:p>
            <w:pPr>
              <w:pStyle w:val="Normal"/>
              <w:jc w:val="center"/>
              <w:rPr>
                <w:kern w:val="2"/>
                <w:szCs w:val="24"/>
              </w:rPr>
            </w:pPr>
            <w:r>
              <w:rPr>
                <w:kern w:val="2"/>
                <w:szCs w:val="24"/>
              </w:rPr>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1.2.9. Šalies atstovas</w:t>
            </w:r>
          </w:p>
        </w:tc>
        <w:tc>
          <w:tcPr>
            <w:tcW w:w="3510" w:type="dxa"/>
            <w:tcBorders>
              <w:top w:val="single" w:sz="4" w:space="0" w:color="000000"/>
              <w:left w:val="single" w:sz="4" w:space="0" w:color="000000"/>
              <w:bottom w:val="single" w:sz="4" w:space="0" w:color="000000"/>
              <w:right w:val="single" w:sz="4" w:space="0" w:color="000000"/>
            </w:tcBorders>
          </w:tcPr>
          <w:p>
            <w:pPr>
              <w:pStyle w:val="Normal"/>
              <w:jc w:val="center"/>
              <w:rPr>
                <w:kern w:val="2"/>
                <w:szCs w:val="24"/>
              </w:rPr>
            </w:pPr>
            <w:r>
              <w:rPr>
                <w:kern w:val="2"/>
                <w:szCs w:val="24"/>
              </w:rPr>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1.2.10. Atstovavimo pagrindas</w:t>
            </w:r>
          </w:p>
        </w:tc>
        <w:tc>
          <w:tcPr>
            <w:tcW w:w="3510" w:type="dxa"/>
            <w:tcBorders>
              <w:top w:val="single" w:sz="4" w:space="0" w:color="000000"/>
              <w:left w:val="single" w:sz="4" w:space="0" w:color="000000"/>
              <w:bottom w:val="single" w:sz="4" w:space="0" w:color="000000"/>
              <w:right w:val="single" w:sz="4" w:space="0" w:color="000000"/>
            </w:tcBorders>
          </w:tcPr>
          <w:p>
            <w:pPr>
              <w:pStyle w:val="Normal"/>
              <w:jc w:val="center"/>
              <w:rPr>
                <w:kern w:val="2"/>
                <w:szCs w:val="24"/>
              </w:rPr>
            </w:pPr>
            <w:r>
              <w:rPr>
                <w:kern w:val="2"/>
                <w:szCs w:val="24"/>
              </w:rPr>
            </w:r>
          </w:p>
        </w:tc>
      </w:tr>
    </w:tbl>
    <w:p>
      <w:pPr>
        <w:pStyle w:val="Normal"/>
        <w:jc w:val="both"/>
        <w:rPr>
          <w:szCs w:val="24"/>
        </w:rPr>
      </w:pPr>
      <w:r>
        <w:rPr>
          <w:szCs w:val="24"/>
        </w:rPr>
      </w:r>
    </w:p>
    <w:tbl>
      <w:tblPr>
        <w:tblW w:w="9531"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3093"/>
        <w:gridCol w:w="83"/>
        <w:gridCol w:w="2047"/>
        <w:gridCol w:w="4307"/>
      </w:tblGrid>
      <w:tr>
        <w:trPr>
          <w:trHeight w:val="300" w:hRule="atLeast"/>
        </w:trPr>
        <w:tc>
          <w:tcPr>
            <w:tcW w:w="9530" w:type="dxa"/>
            <w:gridSpan w:val="4"/>
            <w:tcBorders>
              <w:top w:val="single" w:sz="4" w:space="0" w:color="000000"/>
              <w:left w:val="single" w:sz="4" w:space="0" w:color="000000"/>
              <w:bottom w:val="single" w:sz="4" w:space="0" w:color="000000"/>
              <w:right w:val="single" w:sz="4" w:space="0" w:color="000000"/>
            </w:tcBorders>
          </w:tcPr>
          <w:p>
            <w:pPr>
              <w:pStyle w:val="Normal"/>
              <w:jc w:val="center"/>
              <w:rPr>
                <w:b/>
                <w:kern w:val="2"/>
                <w:szCs w:val="24"/>
              </w:rPr>
            </w:pPr>
            <w:r>
              <w:rPr>
                <w:b/>
                <w:kern w:val="2"/>
                <w:szCs w:val="24"/>
              </w:rPr>
              <w:t>2. ATSAKINGI ASMENYS</w:t>
            </w:r>
          </w:p>
        </w:tc>
      </w:tr>
      <w:tr>
        <w:trPr>
          <w:trHeight w:val="300" w:hRule="atLeast"/>
        </w:trPr>
        <w:tc>
          <w:tcPr>
            <w:tcW w:w="3093" w:type="dxa"/>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37" w:type="dxa"/>
            <w:gridSpan w:val="3"/>
            <w:tcBorders>
              <w:top w:val="single" w:sz="4" w:space="0" w:color="000000"/>
              <w:left w:val="single" w:sz="4" w:space="0" w:color="000000"/>
              <w:bottom w:val="single" w:sz="4" w:space="0" w:color="000000"/>
              <w:right w:val="single" w:sz="4" w:space="0" w:color="000000"/>
            </w:tcBorders>
          </w:tcPr>
          <w:p>
            <w:pPr>
              <w:pStyle w:val="Normal"/>
              <w:rPr>
                <w:color w:val="000000"/>
                <w:kern w:val="2"/>
                <w:szCs w:val="24"/>
              </w:rPr>
            </w:pPr>
            <w:r>
              <w:rPr>
                <w:color w:val="000000"/>
                <w:kern w:val="2"/>
                <w:szCs w:val="24"/>
              </w:rPr>
              <w:t xml:space="preserve">Kultūros ir turizmo skyriaus vyriausioji specialistė Edita Jakimavičiūtė, Tel. +370 319 61190 </w:t>
              <w:br/>
              <w:t xml:space="preserve">El.p. </w:t>
            </w:r>
            <w:hyperlink r:id="rId2">
              <w:r>
                <w:rPr>
                  <w:rStyle w:val="Hyperlink"/>
                  <w:color w:val="000000"/>
                  <w:kern w:val="2"/>
                  <w:szCs w:val="24"/>
                </w:rPr>
                <w:t>edita.jakimaviciute@prienai.lt</w:t>
              </w:r>
            </w:hyperlink>
          </w:p>
        </w:tc>
      </w:tr>
      <w:tr>
        <w:trPr>
          <w:trHeight w:val="300" w:hRule="atLeast"/>
        </w:trPr>
        <w:tc>
          <w:tcPr>
            <w:tcW w:w="3093" w:type="dxa"/>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t>2.2. Tiekėjo kontaktiniai asmenys, atsakingi už Sutarties vykdymą</w:t>
            </w:r>
          </w:p>
        </w:tc>
        <w:tc>
          <w:tcPr>
            <w:tcW w:w="6437" w:type="dxa"/>
            <w:gridSpan w:val="3"/>
            <w:tcBorders>
              <w:top w:val="single" w:sz="4" w:space="0" w:color="000000"/>
              <w:left w:val="single" w:sz="4" w:space="0" w:color="000000"/>
              <w:bottom w:val="single" w:sz="4" w:space="0" w:color="000000"/>
              <w:right w:val="single" w:sz="4" w:space="0" w:color="000000"/>
            </w:tcBorders>
          </w:tcPr>
          <w:p>
            <w:pPr>
              <w:pStyle w:val="Normal"/>
              <w:rPr>
                <w:color w:val="4472C4"/>
                <w:kern w:val="2"/>
                <w:szCs w:val="24"/>
              </w:rPr>
            </w:pPr>
            <w:r>
              <w:rPr>
                <w:color w:val="4472C4"/>
                <w:kern w:val="2"/>
                <w:szCs w:val="24"/>
              </w:rPr>
              <w:t>(nurodyti padalinį / skyrių, pareigas, vardą, pavardę, tel., el. paštą)</w:t>
            </w:r>
          </w:p>
        </w:tc>
      </w:tr>
      <w:tr>
        <w:trPr>
          <w:trHeight w:val="300" w:hRule="atLeast"/>
        </w:trPr>
        <w:tc>
          <w:tcPr>
            <w:tcW w:w="9530" w:type="dxa"/>
            <w:gridSpan w:val="4"/>
            <w:tcBorders>
              <w:top w:val="single" w:sz="4" w:space="0" w:color="000000"/>
              <w:left w:val="single" w:sz="4" w:space="0" w:color="000000"/>
              <w:bottom w:val="single" w:sz="4" w:space="0" w:color="000000"/>
              <w:right w:val="single" w:sz="4" w:space="0" w:color="000000"/>
            </w:tcBorders>
          </w:tcPr>
          <w:p>
            <w:pPr>
              <w:pStyle w:val="Normal"/>
              <w:jc w:val="center"/>
              <w:rPr>
                <w:b/>
                <w:kern w:val="2"/>
                <w:szCs w:val="24"/>
              </w:rPr>
            </w:pPr>
            <w:r>
              <w:rPr>
                <w:b/>
                <w:kern w:val="2"/>
                <w:szCs w:val="24"/>
              </w:rPr>
              <w:t>3. SUTARTIES DALYKAS</w:t>
            </w:r>
          </w:p>
        </w:tc>
      </w:tr>
      <w:tr>
        <w:trPr>
          <w:trHeight w:val="300" w:hRule="atLeast"/>
        </w:trPr>
        <w:tc>
          <w:tcPr>
            <w:tcW w:w="3093" w:type="dxa"/>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t>3.1. Sutarties dalykas</w:t>
            </w:r>
          </w:p>
        </w:tc>
        <w:tc>
          <w:tcPr>
            <w:tcW w:w="6437" w:type="dxa"/>
            <w:gridSpan w:val="3"/>
            <w:tcBorders>
              <w:top w:val="single" w:sz="4" w:space="0" w:color="000000"/>
              <w:left w:val="single" w:sz="4" w:space="0" w:color="000000"/>
              <w:bottom w:val="single" w:sz="4" w:space="0" w:color="000000"/>
              <w:right w:val="single" w:sz="4" w:space="0" w:color="000000"/>
            </w:tcBorders>
          </w:tcPr>
          <w:p>
            <w:pPr>
              <w:pStyle w:val="Normal"/>
              <w:rPr>
                <w:color w:val="000000"/>
                <w:kern w:val="2"/>
                <w:szCs w:val="24"/>
              </w:rPr>
            </w:pPr>
            <w:r>
              <w:rPr>
                <w:kern w:val="2"/>
                <w:szCs w:val="24"/>
              </w:rPr>
              <w:t xml:space="preserve">Tiekėjas įsipareigoja Sutartyje numatytomis sąlygomis suteikti Pirkėjui </w:t>
            </w:r>
            <w:r>
              <w:rPr>
                <w:rFonts w:eastAsia="Calibri" w:cs="Arial" w:ascii="Arial" w:hAnsi="Arial"/>
                <w:b/>
                <w:bCs/>
                <w:color w:themeColor="text1" w:val="000000"/>
                <w:kern w:val="2"/>
                <w:sz w:val="20"/>
                <w:szCs w:val="20"/>
              </w:rPr>
              <w:t>Prienų r. sav. Balbieriškio dvaro sodybos parko tvarkybos ir pritaikymo darbų projektinės dokumentacijos parengimo paslaugas :</w:t>
            </w:r>
          </w:p>
          <w:p>
            <w:pPr>
              <w:pStyle w:val="ListParagraph"/>
              <w:tabs>
                <w:tab w:val="clear" w:pos="1296"/>
                <w:tab w:val="left" w:pos="900" w:leader="none"/>
              </w:tabs>
              <w:spacing w:lineRule="auto" w:line="240" w:before="0" w:after="0"/>
              <w:ind w:firstLine="567" w:left="0"/>
              <w:contextualSpacing/>
              <w:jc w:val="both"/>
              <w:rPr>
                <w:color w:val="FF4000"/>
                <w:sz w:val="20"/>
                <w:szCs w:val="20"/>
              </w:rPr>
            </w:pPr>
            <w:r>
              <w:rPr>
                <w:color w:val="FF4000"/>
                <w:sz w:val="20"/>
                <w:szCs w:val="20"/>
              </w:rPr>
            </w:r>
          </w:p>
          <w:p>
            <w:pPr>
              <w:pStyle w:val="Normal"/>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Pr>
                <w:color w:val="000000"/>
                <w:kern w:val="2"/>
                <w:szCs w:val="24"/>
                <w:highlight w:val="yellow"/>
              </w:rPr>
              <w:t>[_]</w:t>
            </w:r>
            <w:r>
              <w:rPr>
                <w:color w:val="000000"/>
                <w:kern w:val="2"/>
                <w:szCs w:val="24"/>
              </w:rPr>
              <w:t xml:space="preserve"> „Techninė specifikacija“ (toliau – Techninė specifikacija) ir Sutarties priede Nr. </w:t>
            </w:r>
            <w:r>
              <w:rPr>
                <w:color w:val="000000"/>
                <w:kern w:val="2"/>
                <w:szCs w:val="24"/>
                <w:highlight w:val="yellow"/>
              </w:rPr>
              <w:t>[_]</w:t>
            </w:r>
            <w:r>
              <w:rPr>
                <w:color w:val="000000"/>
                <w:kern w:val="2"/>
                <w:szCs w:val="24"/>
              </w:rPr>
              <w:t xml:space="preserve"> „Pasiūlymas“.</w:t>
            </w:r>
          </w:p>
        </w:tc>
      </w:tr>
      <w:tr>
        <w:trPr>
          <w:trHeight w:val="300" w:hRule="atLeast"/>
        </w:trPr>
        <w:tc>
          <w:tcPr>
            <w:tcW w:w="3093" w:type="dxa"/>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t>3.2. Pirkimo pavadinimas ir numeris</w:t>
            </w:r>
          </w:p>
        </w:tc>
        <w:tc>
          <w:tcPr>
            <w:tcW w:w="6437" w:type="dxa"/>
            <w:gridSpan w:val="3"/>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r>
          </w:p>
        </w:tc>
      </w:tr>
      <w:tr>
        <w:trPr>
          <w:trHeight w:val="300" w:hRule="atLeast"/>
        </w:trPr>
        <w:tc>
          <w:tcPr>
            <w:tcW w:w="3093" w:type="dxa"/>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t>3.3. Informacija apie Europos Sąjungos lėšomis finansuojamą projektą arba kitą projektą</w:t>
            </w:r>
          </w:p>
        </w:tc>
        <w:tc>
          <w:tcPr>
            <w:tcW w:w="6437" w:type="dxa"/>
            <w:gridSpan w:val="3"/>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Netaikoma</w:t>
            </w:r>
          </w:p>
          <w:p>
            <w:pPr>
              <w:pStyle w:val="Normal"/>
              <w:rPr>
                <w:kern w:val="2"/>
                <w:szCs w:val="24"/>
              </w:rPr>
            </w:pPr>
            <w:r>
              <w:rPr>
                <w:kern w:val="2"/>
                <w:szCs w:val="24"/>
              </w:rPr>
            </w:r>
          </w:p>
          <w:p>
            <w:pPr>
              <w:pStyle w:val="Normal"/>
              <w:rPr>
                <w:kern w:val="2"/>
                <w:szCs w:val="24"/>
              </w:rPr>
            </w:pPr>
            <w:r>
              <w:rPr>
                <w:kern w:val="2"/>
                <w:szCs w:val="24"/>
              </w:rPr>
            </w:r>
          </w:p>
        </w:tc>
      </w:tr>
      <w:tr>
        <w:trPr>
          <w:trHeight w:val="300" w:hRule="atLeast"/>
        </w:trPr>
        <w:tc>
          <w:tcPr>
            <w:tcW w:w="9530" w:type="dxa"/>
            <w:gridSpan w:val="4"/>
            <w:tcBorders>
              <w:top w:val="single" w:sz="4" w:space="0" w:color="000000"/>
              <w:left w:val="single" w:sz="4" w:space="0" w:color="000000"/>
              <w:bottom w:val="single" w:sz="4" w:space="0" w:color="000000"/>
              <w:right w:val="single" w:sz="4" w:space="0" w:color="000000"/>
            </w:tcBorders>
          </w:tcPr>
          <w:p>
            <w:pPr>
              <w:pStyle w:val="Normal"/>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trPr>
          <w:trHeight w:val="300" w:hRule="atLeast"/>
        </w:trPr>
        <w:tc>
          <w:tcPr>
            <w:tcW w:w="3093" w:type="dxa"/>
            <w:tcBorders>
              <w:top w:val="single" w:sz="4" w:space="0" w:color="000000"/>
              <w:left w:val="single" w:sz="4" w:space="0" w:color="000000"/>
              <w:bottom w:val="single" w:sz="4" w:space="0" w:color="000000"/>
              <w:right w:val="single" w:sz="4" w:space="0" w:color="000000"/>
            </w:tcBorders>
          </w:tcPr>
          <w:p>
            <w:pPr>
              <w:pStyle w:val="Normal"/>
              <w:rPr>
                <w:b/>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terminai, kai </w:t>
            </w:r>
            <w:r>
              <w:rPr>
                <w:b/>
                <w:szCs w:val="24"/>
              </w:rPr>
              <w:t>Paslaugos</w:t>
            </w:r>
            <w:r>
              <w:rPr>
                <w:b/>
                <w:kern w:val="2"/>
                <w:szCs w:val="24"/>
              </w:rPr>
              <w:t xml:space="preserve"> </w:t>
            </w:r>
            <w:r>
              <w:rPr>
                <w:b/>
                <w:szCs w:val="24"/>
              </w:rPr>
              <w:t>teikiamos</w:t>
            </w:r>
            <w:r>
              <w:rPr>
                <w:b/>
                <w:kern w:val="2"/>
                <w:szCs w:val="24"/>
              </w:rPr>
              <w:t xml:space="preserve"> </w:t>
            </w:r>
            <w:r>
              <w:rPr>
                <w:b/>
                <w:szCs w:val="24"/>
              </w:rPr>
              <w:t>etapais</w:t>
            </w:r>
          </w:p>
        </w:tc>
        <w:tc>
          <w:tcPr>
            <w:tcW w:w="6437" w:type="dxa"/>
            <w:gridSpan w:val="3"/>
            <w:tcBorders>
              <w:top w:val="single" w:sz="4" w:space="0" w:color="000000"/>
              <w:left w:val="single" w:sz="4" w:space="0" w:color="000000"/>
              <w:bottom w:val="single" w:sz="4" w:space="0" w:color="000000"/>
              <w:right w:val="single" w:sz="4" w:space="0" w:color="000000"/>
            </w:tcBorders>
          </w:tcPr>
          <w:p>
            <w:pPr>
              <w:pStyle w:val="Normal"/>
              <w:rPr>
                <w:szCs w:val="24"/>
              </w:rPr>
            </w:pPr>
            <w:r>
              <w:rPr>
                <w:szCs w:val="24"/>
              </w:rPr>
              <w:t xml:space="preserve">Tiekėjas Paslaugas įsipareigoja teikti </w:t>
            </w:r>
            <w:r>
              <w:rPr>
                <w:b w:val="false"/>
                <w:bCs w:val="false"/>
                <w:szCs w:val="24"/>
              </w:rPr>
              <w:t>nuo</w:t>
            </w:r>
            <w:r>
              <w:rPr>
                <w:szCs w:val="24"/>
              </w:rPr>
              <w:t xml:space="preserve"> </w:t>
            </w:r>
            <w:r>
              <w:rPr>
                <w:color w:val="000000"/>
                <w:szCs w:val="24"/>
              </w:rPr>
              <w:t>Sutarties įsigaliojimo dienos.</w:t>
            </w:r>
          </w:p>
          <w:p>
            <w:pPr>
              <w:pStyle w:val="Normal"/>
              <w:spacing w:lineRule="auto" w:line="240" w:before="0" w:after="0"/>
              <w:jc w:val="both"/>
              <w:rPr/>
            </w:pPr>
            <w:r>
              <w:rPr>
                <w:rFonts w:cs="Times New Roman"/>
                <w:color w:val="000000"/>
                <w:sz w:val="24"/>
                <w:szCs w:val="24"/>
              </w:rPr>
              <w:t>Projektinė dokumentacija parengiama, s</w:t>
            </w:r>
            <w:r>
              <w:rPr>
                <w:rFonts w:cs="Times New Roman"/>
                <w:color w:val="000000"/>
                <w:kern w:val="2"/>
                <w:sz w:val="24"/>
                <w:szCs w:val="24"/>
              </w:rPr>
              <w:t xml:space="preserve">tatybą leidžiantis dokumentas ir tvarkybos darbus leidžiantis į dokumentas </w:t>
            </w:r>
            <w:r>
              <w:rPr>
                <w:rFonts w:cs="Times New Roman"/>
                <w:color w:val="000000"/>
                <w:sz w:val="24"/>
                <w:szCs w:val="24"/>
              </w:rPr>
              <w:t xml:space="preserve"> pateikiamas Užsakovo suderinimui per 10</w:t>
            </w:r>
            <w:r>
              <w:rPr>
                <w:rFonts w:eastAsia="Calibri" w:cs="Times New Roman"/>
                <w:color w:val="000000"/>
                <w:sz w:val="24"/>
                <w:szCs w:val="24"/>
                <w:lang w:val="lt-LT" w:bidi="ar-SA"/>
              </w:rPr>
              <w:t xml:space="preserve"> </w:t>
            </w:r>
            <w:r>
              <w:rPr>
                <w:rFonts w:cs="Times New Roman"/>
                <w:color w:val="000000"/>
                <w:sz w:val="24"/>
                <w:szCs w:val="24"/>
              </w:rPr>
              <w:t>mėnesių nuo sutarties pasirašymo dienos.</w:t>
            </w:r>
          </w:p>
          <w:p>
            <w:pPr>
              <w:pStyle w:val="Normal"/>
              <w:spacing w:lineRule="auto" w:line="240" w:before="0" w:after="0"/>
              <w:jc w:val="both"/>
              <w:rPr>
                <w:rFonts w:cs="Times New Roman"/>
                <w:color w:val="000000"/>
                <w:kern w:val="2"/>
                <w:sz w:val="24"/>
                <w:szCs w:val="24"/>
              </w:rPr>
            </w:pPr>
            <w:r>
              <w:rPr>
                <w:rFonts w:cs="Times New Roman"/>
                <w:color w:val="000000"/>
                <w:kern w:val="2"/>
                <w:sz w:val="24"/>
                <w:szCs w:val="24"/>
              </w:rPr>
            </w:r>
          </w:p>
        </w:tc>
      </w:tr>
      <w:tr>
        <w:trPr>
          <w:trHeight w:val="300" w:hRule="atLeast"/>
        </w:trPr>
        <w:tc>
          <w:tcPr>
            <w:tcW w:w="3093" w:type="dxa"/>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t>4.2. Paslaugų / jų dalies / etapo / periodo suteikimo termino pratęsimas</w:t>
            </w:r>
          </w:p>
        </w:tc>
        <w:tc>
          <w:tcPr>
            <w:tcW w:w="6437" w:type="dxa"/>
            <w:gridSpan w:val="3"/>
            <w:tcBorders>
              <w:top w:val="single" w:sz="4" w:space="0" w:color="000000"/>
              <w:left w:val="single" w:sz="4" w:space="0" w:color="000000"/>
              <w:bottom w:val="single" w:sz="4" w:space="0" w:color="000000"/>
              <w:right w:val="single" w:sz="4" w:space="0" w:color="000000"/>
            </w:tcBorders>
          </w:tcPr>
          <w:p>
            <w:pPr>
              <w:pStyle w:val="Normal"/>
              <w:rPr>
                <w:szCs w:val="24"/>
              </w:rPr>
            </w:pPr>
            <w:r>
              <w:rPr>
                <w:kern w:val="2"/>
                <w:szCs w:val="24"/>
              </w:rPr>
              <w:t>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per 10 darbo dienų, apie tai praneša Pirkėjui, pateikdamas minėtų aplinkybių egzistavimo įrodymus. Nurodytas aplinkybes vertina Pirkėjas. Pirkėjui sutikus, Paslaugų suteikimo terminas gali būti pratęsiamas tik minėtų aplinkybių egzistavimo laikotarpiui, bet ne ilgiau nei 2 mėnesių laikotarpiui.</w:t>
            </w:r>
          </w:p>
          <w:p>
            <w:pPr>
              <w:pStyle w:val="Normal"/>
              <w:rPr>
                <w:kern w:val="2"/>
                <w:szCs w:val="24"/>
              </w:rPr>
            </w:pPr>
            <w:r>
              <w:rPr>
                <w:kern w:val="2"/>
                <w:szCs w:val="24"/>
              </w:rPr>
            </w:r>
          </w:p>
        </w:tc>
      </w:tr>
      <w:tr>
        <w:trPr>
          <w:trHeight w:val="300" w:hRule="atLeast"/>
        </w:trPr>
        <w:tc>
          <w:tcPr>
            <w:tcW w:w="3093" w:type="dxa"/>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t>4.3. Užsakymų teikimo tvarka</w:t>
            </w:r>
          </w:p>
        </w:tc>
        <w:tc>
          <w:tcPr>
            <w:tcW w:w="6437" w:type="dxa"/>
            <w:gridSpan w:val="3"/>
            <w:tcBorders>
              <w:top w:val="single" w:sz="4" w:space="0" w:color="000000"/>
              <w:left w:val="single" w:sz="4" w:space="0" w:color="000000"/>
              <w:bottom w:val="single" w:sz="4" w:space="0" w:color="000000"/>
              <w:right w:val="single" w:sz="4" w:space="0" w:color="000000"/>
            </w:tcBorders>
          </w:tcPr>
          <w:p>
            <w:pPr>
              <w:pStyle w:val="Normal"/>
              <w:rPr>
                <w:szCs w:val="24"/>
              </w:rPr>
            </w:pPr>
            <w:r>
              <w:rPr>
                <w:szCs w:val="24"/>
              </w:rPr>
              <w:t>Netaikoma</w:t>
            </w:r>
          </w:p>
          <w:p>
            <w:pPr>
              <w:pStyle w:val="Normal"/>
              <w:rPr>
                <w:szCs w:val="24"/>
              </w:rPr>
            </w:pPr>
            <w:r>
              <w:rPr>
                <w:szCs w:val="24"/>
              </w:rPr>
            </w:r>
          </w:p>
          <w:p>
            <w:pPr>
              <w:pStyle w:val="Normal"/>
              <w:rPr>
                <w:color w:val="FF0000"/>
                <w:szCs w:val="24"/>
              </w:rPr>
            </w:pPr>
            <w:r>
              <w:rPr>
                <w:color w:val="FF0000"/>
                <w:szCs w:val="24"/>
              </w:rPr>
            </w:r>
          </w:p>
        </w:tc>
      </w:tr>
      <w:tr>
        <w:trPr>
          <w:trHeight w:val="1315" w:hRule="atLeast"/>
        </w:trPr>
        <w:tc>
          <w:tcPr>
            <w:tcW w:w="3093" w:type="dxa"/>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t>4.4. Dėl minimalios Užsakymo vertės ar apimties</w:t>
            </w:r>
          </w:p>
        </w:tc>
        <w:tc>
          <w:tcPr>
            <w:tcW w:w="6437" w:type="dxa"/>
            <w:gridSpan w:val="3"/>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Netaikoma</w:t>
            </w:r>
          </w:p>
        </w:tc>
      </w:tr>
      <w:tr>
        <w:trPr>
          <w:trHeight w:val="300" w:hRule="atLeast"/>
        </w:trPr>
        <w:tc>
          <w:tcPr>
            <w:tcW w:w="3093" w:type="dxa"/>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t>4.5. Pateikiami dokumentai</w:t>
            </w:r>
          </w:p>
        </w:tc>
        <w:tc>
          <w:tcPr>
            <w:tcW w:w="6437" w:type="dxa"/>
            <w:gridSpan w:val="3"/>
            <w:tcBorders>
              <w:top w:val="single" w:sz="4" w:space="0" w:color="000000"/>
              <w:left w:val="single" w:sz="4" w:space="0" w:color="000000"/>
              <w:bottom w:val="single" w:sz="4" w:space="0" w:color="000000"/>
              <w:right w:val="single" w:sz="4" w:space="0" w:color="000000"/>
            </w:tcBorders>
          </w:tcPr>
          <w:p>
            <w:pPr>
              <w:pStyle w:val="Normal"/>
              <w:rPr>
                <w:szCs w:val="24"/>
              </w:rPr>
            </w:pPr>
            <w:r>
              <w:rPr>
                <w:kern w:val="2"/>
                <w:szCs w:val="24"/>
              </w:rPr>
              <w:t>Turi būti pateikiami šie dokumentai:</w:t>
            </w:r>
            <w:r>
              <w:rPr>
                <w:color w:val="4472C4"/>
                <w:kern w:val="2"/>
                <w:szCs w:val="24"/>
              </w:rPr>
              <w:t xml:space="preserve"> </w:t>
            </w:r>
            <w:r>
              <w:rPr>
                <w:color w:val="000000"/>
                <w:kern w:val="2"/>
                <w:szCs w:val="24"/>
              </w:rPr>
              <w:t>Paslaugų perdavimo-priėmimo aktas, Sąskaita, p</w:t>
            </w:r>
            <w:r>
              <w:rPr>
                <w:rFonts w:cs="Times New Roman"/>
                <w:color w:val="000000"/>
                <w:sz w:val="24"/>
                <w:szCs w:val="24"/>
              </w:rPr>
              <w:t>arengtas ir patvirtintas projektas, suderintas su atsakingomis institucijomis (</w:t>
            </w:r>
            <w:r>
              <w:rPr>
                <w:rFonts w:cs="Times New Roman"/>
                <w:color w:val="000000"/>
                <w:kern w:val="2"/>
                <w:sz w:val="24"/>
                <w:szCs w:val="24"/>
              </w:rPr>
              <w:t xml:space="preserve"> 2 projekto egzemplioriai ir 1 skaitmeninis projekto egzempliorius)</w:t>
            </w:r>
            <w:r>
              <w:rPr>
                <w:color w:val="000000"/>
                <w:kern w:val="2"/>
                <w:szCs w:val="24"/>
              </w:rPr>
              <w:t>.</w:t>
            </w:r>
            <w:r>
              <w:rPr>
                <w:kern w:val="2"/>
                <w:szCs w:val="24"/>
              </w:rPr>
              <w:t xml:space="preserve"> Tiekėjui nepateikus nurodytų dokumentų, laikoma, kad Paslaugos neatitinka Sutartyje nustatytų reikalavimų.</w:t>
            </w:r>
          </w:p>
        </w:tc>
      </w:tr>
      <w:tr>
        <w:trPr>
          <w:trHeight w:val="300" w:hRule="atLeast"/>
        </w:trPr>
        <w:tc>
          <w:tcPr>
            <w:tcW w:w="9530" w:type="dxa"/>
            <w:gridSpan w:val="4"/>
            <w:tcBorders>
              <w:top w:val="single" w:sz="4" w:space="0" w:color="000000"/>
              <w:left w:val="single" w:sz="4" w:space="0" w:color="000000"/>
              <w:bottom w:val="single" w:sz="4" w:space="0" w:color="000000"/>
              <w:right w:val="single" w:sz="4" w:space="0" w:color="000000"/>
            </w:tcBorders>
          </w:tcPr>
          <w:p>
            <w:pPr>
              <w:pStyle w:val="Normal"/>
              <w:jc w:val="center"/>
              <w:rPr>
                <w:b/>
                <w:kern w:val="2"/>
                <w:szCs w:val="24"/>
              </w:rPr>
            </w:pPr>
            <w:r>
              <w:rPr>
                <w:b/>
                <w:kern w:val="2"/>
                <w:szCs w:val="24"/>
              </w:rPr>
              <w:t>5. SUTARTIES KAINA IR ATSISKAITYMO TVARKA</w:t>
            </w:r>
          </w:p>
        </w:tc>
      </w:tr>
      <w:tr>
        <w:trPr>
          <w:trHeight w:val="300" w:hRule="atLeast"/>
        </w:trPr>
        <w:tc>
          <w:tcPr>
            <w:tcW w:w="3093" w:type="dxa"/>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t>5.1. Sutarčiai taikomas kainos apskaičiavimo būdas</w:t>
            </w:r>
          </w:p>
        </w:tc>
        <w:tc>
          <w:tcPr>
            <w:tcW w:w="6437" w:type="dxa"/>
            <w:gridSpan w:val="3"/>
            <w:tcBorders>
              <w:top w:val="single" w:sz="4" w:space="0" w:color="000000"/>
              <w:left w:val="single" w:sz="4" w:space="0" w:color="000000"/>
              <w:bottom w:val="single" w:sz="4" w:space="0" w:color="000000"/>
              <w:right w:val="single" w:sz="4" w:space="0" w:color="000000"/>
            </w:tcBorders>
          </w:tcPr>
          <w:p>
            <w:pPr>
              <w:pStyle w:val="Normal"/>
              <w:rPr>
                <w:color w:val="4472C4"/>
                <w:kern w:val="2"/>
                <w:szCs w:val="24"/>
              </w:rPr>
            </w:pPr>
            <w:r>
              <w:rPr>
                <w:color w:val="4472C4"/>
                <w:kern w:val="2"/>
                <w:szCs w:val="24"/>
              </w:rPr>
            </w:r>
          </w:p>
          <w:p>
            <w:pPr>
              <w:pStyle w:val="Normal"/>
              <w:rPr>
                <w:kern w:val="2"/>
                <w:szCs w:val="24"/>
              </w:rPr>
            </w:pPr>
            <w:r>
              <w:rPr>
                <w:kern w:val="2"/>
                <w:szCs w:val="24"/>
              </w:rPr>
              <w:t>Fiksuotos kainos kainodara</w:t>
            </w:r>
          </w:p>
          <w:p>
            <w:pPr>
              <w:pStyle w:val="Normal"/>
              <w:rPr>
                <w:kern w:val="2"/>
                <w:szCs w:val="24"/>
              </w:rPr>
            </w:pPr>
            <w:r>
              <w:rPr>
                <w:kern w:val="2"/>
                <w:szCs w:val="24"/>
              </w:rPr>
            </w:r>
          </w:p>
        </w:tc>
      </w:tr>
      <w:tr>
        <w:trPr>
          <w:trHeight w:val="300" w:hRule="atLeast"/>
        </w:trPr>
        <w:tc>
          <w:tcPr>
            <w:tcW w:w="3093" w:type="dxa"/>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t xml:space="preserve">5.2. Pradinės Sutarties vertė ir Sutarties kaina, kai taikoma </w:t>
            </w:r>
            <w:r>
              <w:rPr>
                <w:b/>
                <w:kern w:val="2"/>
                <w:szCs w:val="24"/>
                <w:u w:val="single"/>
              </w:rPr>
              <w:t>fiksuotos kainos</w:t>
            </w:r>
            <w:r>
              <w:rPr>
                <w:b/>
                <w:kern w:val="2"/>
                <w:szCs w:val="24"/>
              </w:rPr>
              <w:t xml:space="preserve"> kainodara</w:t>
            </w:r>
          </w:p>
          <w:p>
            <w:pPr>
              <w:pStyle w:val="Normal"/>
              <w:rPr>
                <w:b/>
                <w:kern w:val="2"/>
                <w:szCs w:val="24"/>
              </w:rPr>
            </w:pPr>
            <w:r>
              <w:rPr>
                <w:b/>
                <w:kern w:val="2"/>
                <w:szCs w:val="24"/>
              </w:rPr>
            </w:r>
          </w:p>
          <w:p>
            <w:pPr>
              <w:pStyle w:val="Normal"/>
              <w:rPr>
                <w:b/>
                <w:kern w:val="2"/>
                <w:szCs w:val="24"/>
              </w:rPr>
            </w:pPr>
            <w:r>
              <w:rPr>
                <w:b/>
                <w:kern w:val="2"/>
                <w:szCs w:val="24"/>
              </w:rPr>
            </w:r>
          </w:p>
          <w:p>
            <w:pPr>
              <w:pStyle w:val="Normal"/>
              <w:rPr>
                <w:b/>
                <w:kern w:val="2"/>
                <w:szCs w:val="24"/>
              </w:rPr>
            </w:pPr>
            <w:r>
              <w:rPr>
                <w:b/>
                <w:kern w:val="2"/>
                <w:szCs w:val="24"/>
              </w:rPr>
            </w:r>
          </w:p>
          <w:p>
            <w:pPr>
              <w:pStyle w:val="Normal"/>
              <w:jc w:val="both"/>
              <w:rPr>
                <w:b/>
                <w:color w:val="FF0000"/>
                <w:kern w:val="2"/>
                <w:szCs w:val="24"/>
              </w:rPr>
            </w:pPr>
            <w:r>
              <w:rPr>
                <w:b/>
                <w:color w:val="FF0000"/>
                <w:kern w:val="2"/>
                <w:szCs w:val="24"/>
              </w:rPr>
            </w:r>
          </w:p>
          <w:p>
            <w:pPr>
              <w:pStyle w:val="Normal"/>
              <w:rPr>
                <w:b/>
                <w:kern w:val="2"/>
                <w:szCs w:val="24"/>
              </w:rPr>
            </w:pPr>
            <w:r>
              <w:rPr>
                <w:b/>
                <w:kern w:val="2"/>
                <w:szCs w:val="24"/>
              </w:rPr>
            </w:r>
          </w:p>
        </w:tc>
        <w:tc>
          <w:tcPr>
            <w:tcW w:w="6437" w:type="dxa"/>
            <w:gridSpan w:val="3"/>
            <w:tcBorders>
              <w:top w:val="single" w:sz="4" w:space="0" w:color="000000"/>
              <w:left w:val="single" w:sz="4" w:space="0" w:color="000000"/>
              <w:bottom w:val="single" w:sz="4" w:space="0" w:color="000000"/>
              <w:right w:val="single" w:sz="4" w:space="0" w:color="000000"/>
            </w:tcBorders>
          </w:tcPr>
          <w:p>
            <w:pPr>
              <w:pStyle w:val="Normal"/>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pPr>
              <w:pStyle w:val="Normal"/>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pPr>
              <w:pStyle w:val="Normal"/>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pPr>
              <w:pStyle w:val="Normal"/>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Paslaugų kiekį ir (ar) apimtį</w:t>
            </w:r>
            <w:r>
              <w:rPr>
                <w:kern w:val="2"/>
                <w:szCs w:val="24"/>
              </w:rPr>
              <w:t>.</w:t>
            </w:r>
          </w:p>
        </w:tc>
      </w:tr>
      <w:tr>
        <w:trPr>
          <w:trHeight w:val="300" w:hRule="atLeast"/>
        </w:trPr>
        <w:tc>
          <w:tcPr>
            <w:tcW w:w="3093" w:type="dxa"/>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p>
            <w:pPr>
              <w:pStyle w:val="Normal"/>
              <w:rPr>
                <w:b/>
                <w:kern w:val="2"/>
                <w:szCs w:val="24"/>
              </w:rPr>
            </w:pPr>
            <w:r>
              <w:rPr>
                <w:b/>
                <w:kern w:val="2"/>
                <w:szCs w:val="24"/>
              </w:rPr>
            </w:r>
          </w:p>
          <w:p>
            <w:pPr>
              <w:pStyle w:val="Normal"/>
              <w:rPr>
                <w:kern w:val="2"/>
                <w:szCs w:val="24"/>
              </w:rPr>
            </w:pPr>
            <w:r>
              <w:rPr>
                <w:kern w:val="2"/>
                <w:szCs w:val="24"/>
              </w:rPr>
            </w:r>
          </w:p>
        </w:tc>
        <w:tc>
          <w:tcPr>
            <w:tcW w:w="6437" w:type="dxa"/>
            <w:gridSpan w:val="3"/>
            <w:tcBorders>
              <w:top w:val="single" w:sz="4" w:space="0" w:color="000000"/>
              <w:left w:val="single" w:sz="4" w:space="0" w:color="000000"/>
              <w:bottom w:val="single" w:sz="4" w:space="0" w:color="000000"/>
              <w:right w:val="single" w:sz="4" w:space="0" w:color="000000"/>
            </w:tcBorders>
          </w:tcPr>
          <w:p>
            <w:pPr>
              <w:pStyle w:val="Normal"/>
              <w:rPr>
                <w:color w:val="4472C4"/>
                <w:kern w:val="2"/>
                <w:szCs w:val="24"/>
              </w:rPr>
            </w:pPr>
            <w:r>
              <w:rPr>
                <w:color w:val="4472C4"/>
                <w:kern w:val="2"/>
                <w:szCs w:val="24"/>
              </w:rPr>
              <w:t>(nurodyti sąlygas, dėl kurių bus atliekamas Sutarties kainos / įkainio (-ių) perskaičiavimas, pasirenkant iš nurodytų variantų arba įrašant kitas Sutarties kainos / įkainio (-ių) perskaičiavimo taisykles)</w:t>
            </w:r>
          </w:p>
          <w:p>
            <w:pPr>
              <w:pStyle w:val="Normal"/>
              <w:rPr>
                <w:kern w:val="2"/>
                <w:szCs w:val="24"/>
              </w:rPr>
            </w:pPr>
            <w:r>
              <w:rPr>
                <w:kern w:val="2"/>
                <w:szCs w:val="24"/>
              </w:rPr>
            </w:r>
          </w:p>
          <w:p>
            <w:pPr>
              <w:pStyle w:val="Normal"/>
              <w:rPr>
                <w:szCs w:val="24"/>
              </w:rPr>
            </w:pPr>
            <w:r>
              <w:rPr>
                <w:kern w:val="2"/>
                <w:szCs w:val="24"/>
              </w:rPr>
              <w:t xml:space="preserve">Sutarties </w:t>
            </w:r>
            <w:r>
              <w:rPr>
                <w:color w:val="000000"/>
                <w:kern w:val="2"/>
                <w:szCs w:val="24"/>
              </w:rPr>
              <w:t xml:space="preserve">kaina </w:t>
            </w:r>
            <w:r>
              <w:rPr>
                <w:kern w:val="2"/>
                <w:szCs w:val="24"/>
              </w:rPr>
              <w:t>bus perskaičiuojami:</w:t>
            </w:r>
          </w:p>
          <w:p>
            <w:pPr>
              <w:pStyle w:val="Normal"/>
              <w:rPr>
                <w:color w:val="FF0000"/>
                <w:kern w:val="2"/>
                <w:szCs w:val="24"/>
              </w:rPr>
            </w:pPr>
            <w:r>
              <w:rPr>
                <w:kern w:val="2"/>
                <w:szCs w:val="24"/>
              </w:rPr>
              <w:t>5.3.1. dėl PVM tarifo pasikeitimo;</w:t>
            </w:r>
          </w:p>
          <w:p>
            <w:pPr>
              <w:pStyle w:val="Normal"/>
              <w:rPr>
                <w:color w:val="000000"/>
              </w:rPr>
            </w:pPr>
            <w:r>
              <w:rPr>
                <w:color w:val="000000"/>
                <w:kern w:val="2"/>
                <w:szCs w:val="24"/>
              </w:rPr>
              <w:t>5.3.2. dėl kainų lygio pokyčio.</w:t>
            </w:r>
          </w:p>
          <w:p>
            <w:pPr>
              <w:pStyle w:val="Normal"/>
              <w:rPr>
                <w:color w:val="FF0000"/>
                <w:kern w:val="2"/>
                <w:szCs w:val="24"/>
              </w:rPr>
            </w:pPr>
            <w:r>
              <w:rPr>
                <w:color w:val="FF0000"/>
                <w:kern w:val="2"/>
                <w:szCs w:val="24"/>
              </w:rPr>
            </w:r>
          </w:p>
        </w:tc>
      </w:tr>
      <w:tr>
        <w:trPr>
          <w:trHeight w:val="300" w:hRule="atLeast"/>
        </w:trPr>
        <w:tc>
          <w:tcPr>
            <w:tcW w:w="3093" w:type="dxa"/>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t>5.3.1. Sutarties kainos / įkainių peržiūra dėl PVM tarifo pasikeitimo</w:t>
            </w:r>
          </w:p>
        </w:tc>
        <w:tc>
          <w:tcPr>
            <w:tcW w:w="6437" w:type="dxa"/>
            <w:gridSpan w:val="3"/>
            <w:tcBorders>
              <w:top w:val="single" w:sz="4" w:space="0" w:color="000000"/>
              <w:left w:val="single" w:sz="4" w:space="0" w:color="000000"/>
              <w:bottom w:val="single" w:sz="4" w:space="0" w:color="000000"/>
              <w:right w:val="single" w:sz="4" w:space="0" w:color="000000"/>
            </w:tcBorders>
          </w:tcPr>
          <w:p>
            <w:pPr>
              <w:pStyle w:val="Normal"/>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pPr>
              <w:pStyle w:val="Normal"/>
              <w:rPr>
                <w:kern w:val="2"/>
                <w:szCs w:val="24"/>
              </w:rPr>
            </w:pPr>
            <w:r>
              <w:rPr>
                <w:kern w:val="2"/>
                <w:szCs w:val="24"/>
              </w:rPr>
            </w:r>
          </w:p>
          <w:p>
            <w:pPr>
              <w:pStyle w:val="Normal"/>
              <w:rPr>
                <w:kern w:val="2"/>
                <w:szCs w:val="24"/>
              </w:rPr>
            </w:pPr>
            <w:r>
              <w:rPr>
                <w:color w:val="000000"/>
                <w:kern w:val="2"/>
                <w:szCs w:val="24"/>
              </w:rPr>
              <w:t>Perskaičiavimas įforminamas Susitarimu ne vėliau kaip per 10 (dešimt) darbo dienų nuo PVM mokėjimą reglamentuojančių teisės aktų pasikeitimo, kuris tampa neatskiriama Sutarties dalimi. Perskaičiuota (-as) Sutarties kaina taikoma už tą Paslaugų dalį, kurios bus teikiamos nuo Susitarime nurodytos dienos.</w:t>
            </w:r>
          </w:p>
        </w:tc>
      </w:tr>
      <w:tr>
        <w:trPr>
          <w:trHeight w:val="300" w:hRule="atLeast"/>
        </w:trPr>
        <w:tc>
          <w:tcPr>
            <w:tcW w:w="3093" w:type="dxa"/>
            <w:tcBorders>
              <w:top w:val="single" w:sz="4" w:space="0" w:color="000000"/>
              <w:left w:val="single" w:sz="4" w:space="0" w:color="000000"/>
              <w:bottom w:val="single" w:sz="4" w:space="0" w:color="000000"/>
              <w:right w:val="single" w:sz="4" w:space="0" w:color="000000"/>
            </w:tcBorders>
          </w:tcPr>
          <w:p>
            <w:pPr>
              <w:pStyle w:val="Normal"/>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37" w:type="dxa"/>
            <w:gridSpan w:val="3"/>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Netaikoma</w:t>
            </w:r>
          </w:p>
          <w:p>
            <w:pPr>
              <w:pStyle w:val="Normal"/>
              <w:rPr>
                <w:kern w:val="2"/>
                <w:szCs w:val="24"/>
              </w:rPr>
            </w:pPr>
            <w:r>
              <w:rPr>
                <w:kern w:val="2"/>
                <w:szCs w:val="24"/>
              </w:rPr>
            </w:r>
          </w:p>
          <w:p>
            <w:pPr>
              <w:pStyle w:val="Normal"/>
              <w:rPr>
                <w:color w:val="FF0000"/>
                <w:kern w:val="2"/>
                <w:szCs w:val="24"/>
              </w:rPr>
            </w:pPr>
            <w:r>
              <w:rPr>
                <w:color w:val="FF0000"/>
                <w:kern w:val="2"/>
                <w:szCs w:val="24"/>
              </w:rPr>
            </w:r>
          </w:p>
        </w:tc>
      </w:tr>
      <w:tr>
        <w:trPr>
          <w:trHeight w:val="300" w:hRule="atLeast"/>
        </w:trPr>
        <w:tc>
          <w:tcPr>
            <w:tcW w:w="3093" w:type="dxa"/>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t>5.3.3. Sutarties kainos / įkainių peržiūra dėl kainų lygio pokyčio</w:t>
            </w:r>
          </w:p>
          <w:p>
            <w:pPr>
              <w:pStyle w:val="Normal"/>
              <w:rPr>
                <w:kern w:val="2"/>
                <w:szCs w:val="24"/>
              </w:rPr>
            </w:pPr>
            <w:r>
              <w:rPr>
                <w:kern w:val="2"/>
                <w:szCs w:val="24"/>
              </w:rPr>
            </w:r>
          </w:p>
          <w:p>
            <w:pPr>
              <w:pStyle w:val="Normal"/>
              <w:rPr>
                <w:b/>
                <w:kern w:val="2"/>
                <w:szCs w:val="24"/>
              </w:rPr>
            </w:pPr>
            <w:r>
              <w:rPr>
                <w:b/>
                <w:kern w:val="2"/>
                <w:szCs w:val="24"/>
              </w:rPr>
            </w:r>
          </w:p>
        </w:tc>
        <w:tc>
          <w:tcPr>
            <w:tcW w:w="6437" w:type="dxa"/>
            <w:gridSpan w:val="3"/>
            <w:tcBorders>
              <w:top w:val="single" w:sz="4" w:space="0" w:color="000000"/>
              <w:left w:val="single" w:sz="4" w:space="0" w:color="000000"/>
              <w:bottom w:val="single" w:sz="4" w:space="0" w:color="000000"/>
              <w:right w:val="single" w:sz="4" w:space="0" w:color="000000"/>
            </w:tcBorders>
          </w:tcPr>
          <w:p>
            <w:pPr>
              <w:pStyle w:val="Normal"/>
              <w:rPr>
                <w:color w:val="000000"/>
              </w:rPr>
            </w:pPr>
            <w:r>
              <w:rPr>
                <w:color w:val="000000"/>
                <w:kern w:val="2"/>
                <w:szCs w:val="24"/>
              </w:rPr>
              <w:t>5.3.3.1. Bet kuri Sutarties Šalis Sutarties galiojimo metu turi teisę inicijuoti Sutarties kainos peržiūrą (keitimą) ne anksčiau kaip po 6 (šešių) mėnesių nuo Sutarties įsigaliojimo dienos jeigu peržiūra jau buvo atlikta – nuo Susitarimo dėl paskutinio perskaičiavimo pagal šį Specialiųjų sąlygų punktą įsigaliojimo dienos), jeigu Paslaugų kainų pokytis (k), apskaičiuotas kaip nustatyta 5.3.3.6 punkte, viršija 5 procentus. Sutarties kainos peržiūra atliekama ne dažniau kaip kas 6 (šeši) mėnesiai. 5.3.3.2. Sutarties kaina peržiūrima tik tai Sutarties daliai, kuri nėra išpirkta, t. y. Paslaugoms, kurios nėra priimtos ir apmokėtos. Vėlesnė Sutarties kainos peržiūra negali apimti laikotarpio, už kurį jau buvo atlikta peržiūra.</w:t>
            </w:r>
          </w:p>
          <w:p>
            <w:pPr>
              <w:pStyle w:val="Normal"/>
              <w:rPr>
                <w:color w:val="000000"/>
              </w:rPr>
            </w:pPr>
            <w:r>
              <w:rPr>
                <w:color w:val="000000"/>
                <w:kern w:val="2"/>
                <w:szCs w:val="24"/>
              </w:rPr>
              <w:t>5.3.3.3. Jeigu Paslaugų teikimas vėluoja dėl Tiekėjo kaltės, uždelstų suteikti Paslaugų kaina nėra perskaičiuojama dėl kainų lygio kilimo (gali būti mažinami, tačiau negali būti didinami). 5.3.3.4. Atlikdamos Sutarties kainos peržiūrą 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pPr>
              <w:pStyle w:val="Normal"/>
              <w:rPr>
                <w:color w:val="000000"/>
              </w:rPr>
            </w:pPr>
            <w:r>
              <w:rPr>
                <w:color w:val="000000"/>
                <w:kern w:val="2"/>
                <w:szCs w:val="24"/>
              </w:rPr>
              <w:t>5.3.3.5. Šalys privalo Susitarime nurodyti paslaugų indekso reikšmę laikotarpio pradžioje ir jo nustatymo datą, indekso reikšmę laikotarpio pabaigoje ir jo nustatymo datą, kainų pokytį (k), perskaičiuotą Sutarties kainą, perskaičiuotą Pradinės Sutarties vertę.</w:t>
            </w:r>
          </w:p>
          <w:p>
            <w:pPr>
              <w:pStyle w:val="Normal"/>
              <w:rPr>
                <w:color w:val="000000"/>
              </w:rPr>
            </w:pPr>
            <w:r>
              <w:rPr>
                <w:color w:val="000000"/>
                <w:kern w:val="2"/>
                <w:szCs w:val="24"/>
              </w:rPr>
              <w:t>5.3.3.6. Nauja Sutarties kaina apskaičiuojami pagal žemiau pateiktą formulę:</w:t>
            </w:r>
          </w:p>
          <w:p>
            <w:pPr>
              <w:pStyle w:val="Normal"/>
              <w:rPr>
                <w:kern w:val="2"/>
                <w:szCs w:val="24"/>
              </w:rPr>
            </w:pPr>
            <w:r>
              <w:rPr/>
            </w:r>
            <m:oMath xmlns:m="http://schemas.openxmlformats.org/officeDocument/2006/math">
              <m:sSub>
                <m:e>
                  <m:r>
                    <w:rPr>
                      <w:rFonts w:ascii="Cambria Math" w:hAnsi="Cambria Math"/>
                    </w:rPr>
                    <m:t xml:space="preserve">a</m:t>
                  </m:r>
                </m:e>
                <m:sub>
                  <m:r>
                    <w:rPr>
                      <w:rFonts w:ascii="Cambria Math" w:hAnsi="Cambria Math"/>
                    </w:rPr>
                    <m:t xml:space="preserve">1</m:t>
                  </m:r>
                </m:sub>
              </m:sSub>
              <m:r>
                <w:rPr>
                  <w:rFonts w:ascii="Cambria Math" w:hAnsi="Cambria Math"/>
                </w:rPr>
                <m:t xml:space="preserve">=</m:t>
              </m:r>
              <m:r>
                <w:rPr>
                  <w:rFonts w:ascii="Cambria Math" w:hAnsi="Cambria Math"/>
                </w:rPr>
                <m:t xml:space="preserve">a</m:t>
              </m:r>
              <m:r>
                <w:rPr>
                  <w:rFonts w:ascii="Cambria Math" w:hAnsi="Cambria Math"/>
                </w:rPr>
                <m:t xml:space="preserve">+</m:t>
              </m:r>
              <m:d>
                <m:dPr>
                  <m:begChr m:val="("/>
                  <m:endChr m:val=")"/>
                </m:dPr>
                <m:e>
                  <m:f>
                    <m:num>
                      <m:r>
                        <w:rPr>
                          <w:rFonts w:ascii="Cambria Math" w:hAnsi="Cambria Math"/>
                        </w:rPr>
                        <m:t xml:space="preserve">k</m:t>
                      </m:r>
                    </m:num>
                    <m:den>
                      <m:r>
                        <w:rPr>
                          <w:rFonts w:ascii="Cambria Math" w:hAnsi="Cambria Math"/>
                        </w:rPr>
                        <m:t xml:space="preserve">100</m:t>
                      </m:r>
                    </m:den>
                  </m:f>
                  <m:r>
                    <w:rPr>
                      <w:rFonts w:ascii="Cambria Math" w:hAnsi="Cambria Math"/>
                    </w:rPr>
                    <m:t xml:space="preserve">×</m:t>
                  </m:r>
                  <m:r>
                    <w:rPr>
                      <w:rFonts w:ascii="Cambria Math" w:hAnsi="Cambria Math"/>
                    </w:rPr>
                    <m:t xml:space="preserve">a</m:t>
                  </m:r>
                </m:e>
              </m:d>
            </m:oMath>
            <w:r>
              <w:rPr>
                <w:color w:val="FF0000"/>
                <w:kern w:val="2"/>
                <w:szCs w:val="24"/>
              </w:rPr>
              <w:t xml:space="preserve">, </w:t>
            </w:r>
            <w:r>
              <w:rPr>
                <w:color w:val="000000"/>
                <w:kern w:val="2"/>
                <w:szCs w:val="24"/>
              </w:rPr>
              <w:t>kur a – kaina (Eur be PVM) (jei peržiūra jau buvo atlikta, tai po paskutinio perskaičiavimo) a</w:t>
            </w:r>
            <w:r>
              <w:rPr>
                <w:color w:val="000000"/>
                <w:kern w:val="2"/>
                <w:szCs w:val="24"/>
                <w:vertAlign w:val="subscript"/>
              </w:rPr>
              <w:t>1</w:t>
            </w:r>
            <w:r>
              <w:rPr>
                <w:color w:val="000000"/>
                <w:kern w:val="2"/>
                <w:szCs w:val="24"/>
              </w:rPr>
              <w:t xml:space="preserve"> – perskaičiuota (pakeista) kaina (Eur be PVM)</w:t>
            </w:r>
          </w:p>
          <w:p>
            <w:pPr>
              <w:pStyle w:val="Normal"/>
              <w:rPr>
                <w:color w:val="000000"/>
              </w:rPr>
            </w:pPr>
            <w:r>
              <w:rPr>
                <w:color w:val="000000"/>
                <w:kern w:val="2"/>
                <w:szCs w:val="24"/>
              </w:rPr>
              <w:t>k – pagal paslaugų kainų indeksą M7111 „Architektūros veikla“ apskaičiuotas paslaugų kainų pokytis (padidėjimas arba sumažėjimas) (%). „k“ reikšmė skaičiuojama pagal formulę:</w:t>
            </w:r>
          </w:p>
          <w:p>
            <w:pPr>
              <w:pStyle w:val="Normal"/>
              <w:rPr>
                <w:color w:val="000000"/>
              </w:rPr>
            </w:pPr>
            <w:r>
              <w:rPr/>
            </w:r>
            <m:oMath xmlns:m="http://schemas.openxmlformats.org/officeDocument/2006/math">
              <m:r>
                <w:rPr>
                  <w:rFonts w:ascii="Cambria Math" w:hAnsi="Cambria Math"/>
                </w:rPr>
                <m:t xml:space="preserve">k</m:t>
              </m:r>
              <m:r>
                <w:rPr>
                  <w:rFonts w:ascii="Cambria Math" w:hAnsi="Cambria Math"/>
                </w:rPr>
                <m:t xml:space="preserve">=</m:t>
              </m:r>
              <m:f>
                <m:num>
                  <m:sSub>
                    <m:e>
                      <m:r>
                        <w:rPr>
                          <w:rFonts w:ascii="Cambria Math" w:hAnsi="Cambria Math"/>
                        </w:rPr>
                        <m:t xml:space="preserve">Ind</m:t>
                      </m:r>
                    </m:e>
                    <m:sub>
                      <m:r>
                        <w:rPr>
                          <w:rFonts w:ascii="Cambria Math" w:hAnsi="Cambria Math"/>
                        </w:rPr>
                        <m:t xml:space="preserve">naujausias</m:t>
                      </m:r>
                    </m:sub>
                  </m:sSub>
                </m:num>
                <m:den>
                  <m:sSub>
                    <m:e>
                      <m:r>
                        <w:rPr>
                          <w:rFonts w:ascii="Cambria Math" w:hAnsi="Cambria Math"/>
                        </w:rPr>
                        <m:t xml:space="preserve">Ind</m:t>
                      </m:r>
                    </m:e>
                    <m:sub>
                      <m:r>
                        <w:rPr>
                          <w:rFonts w:ascii="Cambria Math" w:hAnsi="Cambria Math"/>
                        </w:rPr>
                        <m:t xml:space="preserve">pradžia</m:t>
                      </m:r>
                    </m:sub>
                  </m:sSub>
                </m:den>
              </m:f>
              <m:r>
                <w:rPr>
                  <w:rFonts w:ascii="Cambria Math" w:hAnsi="Cambria Math"/>
                </w:rPr>
                <m:t xml:space="preserve">×</m:t>
              </m:r>
              <m:r>
                <w:rPr>
                  <w:rFonts w:ascii="Cambria Math" w:hAnsi="Cambria Math"/>
                </w:rPr>
                <m:t xml:space="preserve">100</m:t>
              </m:r>
              <m:r>
                <w:rPr>
                  <w:rFonts w:ascii="Cambria Math" w:hAnsi="Cambria Math"/>
                </w:rPr>
                <m:t xml:space="preserve">−</m:t>
              </m:r>
              <m:r>
                <w:rPr>
                  <w:rFonts w:ascii="Cambria Math" w:hAnsi="Cambria Math"/>
                </w:rPr>
                <m:t xml:space="preserve">100</m:t>
              </m:r>
            </m:oMath>
            <w:r>
              <w:rPr>
                <w:color w:val="000000"/>
                <w:kern w:val="2"/>
                <w:szCs w:val="24"/>
              </w:rPr>
              <w:t>, (proc.) kur</w:t>
            </w:r>
          </w:p>
          <w:p>
            <w:pPr>
              <w:pStyle w:val="Normal"/>
              <w:rPr>
                <w:color w:val="000000"/>
              </w:rPr>
            </w:pPr>
            <w:r>
              <w:rPr>
                <w:color w:val="000000"/>
                <w:kern w:val="2"/>
                <w:szCs w:val="24"/>
              </w:rPr>
              <w:t>Ind</w:t>
            </w:r>
            <w:r>
              <w:rPr>
                <w:color w:val="000000"/>
                <w:kern w:val="2"/>
                <w:szCs w:val="24"/>
                <w:vertAlign w:val="subscript"/>
              </w:rPr>
              <w:t>naujausias</w:t>
            </w:r>
            <w:r>
              <w:rPr>
                <w:color w:val="000000"/>
                <w:kern w:val="2"/>
                <w:szCs w:val="24"/>
              </w:rPr>
              <w:t xml:space="preserve"> – kreipimosi dėl kainos peržiūros išsiuntimo kitai Šaliai dieną paskelbtas naujausias paslaugų kainų indeksas M7111 „Architektūros veikla“.</w:t>
            </w:r>
          </w:p>
          <w:p>
            <w:pPr>
              <w:pStyle w:val="Normal"/>
              <w:rPr>
                <w:color w:val="000000"/>
              </w:rPr>
            </w:pPr>
            <w:r>
              <w:rPr>
                <w:color w:val="000000"/>
                <w:kern w:val="2"/>
                <w:szCs w:val="24"/>
              </w:rPr>
              <w:t>Ind</w:t>
            </w:r>
            <w:r>
              <w:rPr>
                <w:color w:val="000000"/>
                <w:kern w:val="2"/>
                <w:szCs w:val="24"/>
                <w:vertAlign w:val="subscript"/>
              </w:rPr>
              <w:t>pradžia</w:t>
            </w:r>
            <w:r>
              <w:rPr>
                <w:color w:val="000000"/>
                <w:kern w:val="2"/>
                <w:szCs w:val="24"/>
              </w:rPr>
              <w:t xml:space="preserve"> – laikotarpio pradžios datos (mėnesio) paslaugų kainų indeksas M7111 „Architektūros veikla“.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pPr>
              <w:pStyle w:val="Normal"/>
              <w:rPr>
                <w:color w:val="000000"/>
              </w:rPr>
            </w:pPr>
            <w:r>
              <w:rPr>
                <w:color w:val="000000"/>
                <w:kern w:val="2"/>
                <w:szCs w:val="24"/>
              </w:rPr>
              <w:t>5.3.3.7. Skaičiavimams indeksų reikšmės imamos keturių skaitmenų po kablelio tikslumu. Apskaičiuotas pokytis (k) tolimesniems skaičiavimams naudojamas suapvalinus iki vieno skaitmens po kablelio, o apskaičiuotas įkainis „a</w:t>
            </w:r>
            <w:r>
              <w:rPr>
                <w:color w:val="000000"/>
                <w:kern w:val="2"/>
                <w:szCs w:val="24"/>
                <w:vertAlign w:val="subscript"/>
              </w:rPr>
              <w:t>1</w:t>
            </w:r>
            <w:r>
              <w:rPr>
                <w:color w:val="000000"/>
                <w:kern w:val="2"/>
                <w:szCs w:val="24"/>
              </w:rPr>
              <w:t>“ suapvalinamas iki dviejų skaitmenų po kablelio.</w:t>
            </w:r>
          </w:p>
          <w:p>
            <w:pPr>
              <w:pStyle w:val="Normal"/>
              <w:rPr>
                <w:color w:val="000000"/>
              </w:rPr>
            </w:pPr>
            <w:r>
              <w:rPr>
                <w:color w:val="000000"/>
                <w:kern w:val="2"/>
                <w:szCs w:val="24"/>
              </w:rPr>
              <w:t>5.3.3.8. Šalis, siekianti Sutarties kainos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kitus oficialius šaltinių duomenis. Prašyme Šalis neturi teisės nurodyti kito indekso ar prašyti perskaičiavimo pagal kitą indeksą nei nurodytas šioje procedūroje.</w:t>
            </w:r>
          </w:p>
          <w:p>
            <w:pPr>
              <w:pStyle w:val="Normal"/>
              <w:rPr>
                <w:color w:val="000000"/>
              </w:rPr>
            </w:pPr>
            <w:r>
              <w:rPr>
                <w:color w:val="000000"/>
                <w:kern w:val="2"/>
                <w:szCs w:val="24"/>
              </w:rPr>
              <w:t>5.3.3.9. Susitarimas turi būti sudarytas per 10 (dešimt) darbo dienų nuo Šalies pateikto tinkamo prašymo perskaičiuoti Sutarties kainą gavimo dienos.</w:t>
            </w:r>
          </w:p>
          <w:p>
            <w:pPr>
              <w:pStyle w:val="Normal"/>
              <w:rPr>
                <w:color w:val="FF0000"/>
                <w:kern w:val="2"/>
                <w:szCs w:val="24"/>
              </w:rPr>
            </w:pPr>
            <w:r>
              <w:rPr>
                <w:color w:val="000000"/>
                <w:kern w:val="2"/>
                <w:szCs w:val="24"/>
              </w:rPr>
              <w:t>5.3.3.10. Susitarimu Šalys neturi teisės keisti procedūroje nurodytos tvarkos ar kitų Sutarties nuostatų, išskyrus, jei keitimas atliekamas pagal VPĮ nuostatas.</w:t>
            </w:r>
          </w:p>
        </w:tc>
      </w:tr>
      <w:tr>
        <w:trPr>
          <w:trHeight w:val="300" w:hRule="atLeast"/>
        </w:trPr>
        <w:tc>
          <w:tcPr>
            <w:tcW w:w="3093" w:type="dxa"/>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37" w:type="dxa"/>
            <w:gridSpan w:val="3"/>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Netaikoma</w:t>
            </w:r>
          </w:p>
          <w:p>
            <w:pPr>
              <w:pStyle w:val="Normal"/>
              <w:rPr>
                <w:kern w:val="2"/>
                <w:szCs w:val="24"/>
              </w:rPr>
            </w:pPr>
            <w:r>
              <w:rPr>
                <w:kern w:val="2"/>
                <w:szCs w:val="24"/>
              </w:rPr>
            </w:r>
          </w:p>
          <w:p>
            <w:pPr>
              <w:pStyle w:val="Normal"/>
              <w:rPr>
                <w:color w:val="FF0000"/>
                <w:kern w:val="2"/>
                <w:szCs w:val="24"/>
              </w:rPr>
            </w:pPr>
            <w:r>
              <w:rPr>
                <w:color w:val="FF0000"/>
                <w:kern w:val="2"/>
                <w:szCs w:val="24"/>
              </w:rPr>
            </w:r>
          </w:p>
        </w:tc>
      </w:tr>
      <w:tr>
        <w:trPr>
          <w:trHeight w:val="300" w:hRule="atLeast"/>
        </w:trPr>
        <w:tc>
          <w:tcPr>
            <w:tcW w:w="3093" w:type="dxa"/>
            <w:tcBorders>
              <w:top w:val="single" w:sz="4" w:space="0" w:color="000000"/>
              <w:left w:val="single" w:sz="4" w:space="0" w:color="000000"/>
              <w:bottom w:val="single" w:sz="4" w:space="0" w:color="000000"/>
              <w:right w:val="single" w:sz="4" w:space="0" w:color="000000"/>
            </w:tcBorders>
          </w:tcPr>
          <w:p>
            <w:pPr>
              <w:pStyle w:val="Normal"/>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37" w:type="dxa"/>
            <w:gridSpan w:val="3"/>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Netaikoma</w:t>
            </w:r>
          </w:p>
          <w:p>
            <w:pPr>
              <w:pStyle w:val="Normal"/>
              <w:rPr>
                <w:kern w:val="2"/>
                <w:szCs w:val="24"/>
              </w:rPr>
            </w:pPr>
            <w:r>
              <w:rPr>
                <w:kern w:val="2"/>
                <w:szCs w:val="24"/>
              </w:rPr>
            </w:r>
          </w:p>
          <w:p>
            <w:pPr>
              <w:pStyle w:val="Normal"/>
              <w:rPr>
                <w:color w:val="FF0000"/>
                <w:kern w:val="2"/>
                <w:szCs w:val="24"/>
              </w:rPr>
            </w:pPr>
            <w:r>
              <w:rPr>
                <w:color w:val="FF0000"/>
                <w:kern w:val="2"/>
                <w:szCs w:val="24"/>
              </w:rPr>
            </w:r>
          </w:p>
          <w:p>
            <w:pPr>
              <w:pStyle w:val="Normal"/>
              <w:rPr>
                <w:color w:val="4472C4"/>
                <w:kern w:val="2"/>
                <w:szCs w:val="24"/>
              </w:rPr>
            </w:pPr>
            <w:r>
              <w:rPr>
                <w:color w:val="4472C4"/>
                <w:kern w:val="2"/>
                <w:szCs w:val="24"/>
              </w:rPr>
            </w:r>
          </w:p>
        </w:tc>
      </w:tr>
      <w:tr>
        <w:trPr>
          <w:trHeight w:val="300" w:hRule="atLeast"/>
        </w:trPr>
        <w:tc>
          <w:tcPr>
            <w:tcW w:w="3093" w:type="dxa"/>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t>5.5. Atsiskaitymo su Tiekėju terminas ir tvarka</w:t>
            </w:r>
          </w:p>
        </w:tc>
        <w:tc>
          <w:tcPr>
            <w:tcW w:w="6437" w:type="dxa"/>
            <w:gridSpan w:val="3"/>
            <w:tcBorders>
              <w:top w:val="single" w:sz="4" w:space="0" w:color="000000"/>
              <w:left w:val="single" w:sz="4" w:space="0" w:color="000000"/>
              <w:bottom w:val="single" w:sz="4" w:space="0" w:color="000000"/>
              <w:right w:val="single" w:sz="4" w:space="0" w:color="000000"/>
            </w:tcBorders>
          </w:tcPr>
          <w:p>
            <w:pPr>
              <w:pStyle w:val="Normal"/>
              <w:rPr>
                <w:color w:val="000000"/>
              </w:rPr>
            </w:pPr>
            <w:r>
              <w:rPr>
                <w:color w:val="000000"/>
                <w:kern w:val="2"/>
                <w:szCs w:val="24"/>
                <w:shd w:fill="FFFFFF" w:val="clear"/>
              </w:rPr>
              <w:t>Pirkėjas atsiskaito su Tiekėju ne vėliau kaip per 30 kalendorinių dienų nuo Sąskaitos gavimo dienos.</w:t>
            </w:r>
          </w:p>
          <w:p>
            <w:pPr>
              <w:pStyle w:val="Normal"/>
              <w:rPr>
                <w:color w:val="000000"/>
              </w:rPr>
            </w:pPr>
            <w:r>
              <w:rPr>
                <w:color w:val="000000"/>
                <w:kern w:val="2"/>
                <w:szCs w:val="24"/>
                <w:shd w:fill="FFFFFF" w:val="clear"/>
              </w:rPr>
              <w:t>Apmokėjimo sąlygos :</w:t>
            </w:r>
          </w:p>
          <w:p>
            <w:pPr>
              <w:pStyle w:val="Normal"/>
              <w:rPr/>
            </w:pPr>
            <w:r>
              <w:rPr>
                <w:color w:val="000000"/>
                <w:kern w:val="2"/>
                <w:szCs w:val="24"/>
                <w:shd w:fill="FFFFFF" w:val="clear"/>
              </w:rPr>
              <w:t>1) įvykdžius visus sutartinius įsipareigojimus, sumokama visa Sutarties kaina</w:t>
            </w:r>
          </w:p>
        </w:tc>
      </w:tr>
      <w:tr>
        <w:trPr>
          <w:trHeight w:val="300" w:hRule="atLeast"/>
        </w:trPr>
        <w:tc>
          <w:tcPr>
            <w:tcW w:w="3093" w:type="dxa"/>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t>5.6. Avansas</w:t>
            </w:r>
          </w:p>
        </w:tc>
        <w:tc>
          <w:tcPr>
            <w:tcW w:w="6437" w:type="dxa"/>
            <w:gridSpan w:val="3"/>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Netaikoma</w:t>
            </w:r>
          </w:p>
          <w:p>
            <w:pPr>
              <w:pStyle w:val="Normal"/>
              <w:rPr>
                <w:kern w:val="2"/>
                <w:szCs w:val="24"/>
              </w:rPr>
            </w:pPr>
            <w:r>
              <w:rPr>
                <w:kern w:val="2"/>
                <w:szCs w:val="24"/>
              </w:rPr>
            </w:r>
          </w:p>
          <w:p>
            <w:pPr>
              <w:pStyle w:val="Normal"/>
              <w:rPr>
                <w:color w:val="FF0000"/>
                <w:kern w:val="2"/>
                <w:szCs w:val="24"/>
              </w:rPr>
            </w:pPr>
            <w:r>
              <w:rPr>
                <w:color w:val="FF0000"/>
                <w:kern w:val="2"/>
                <w:szCs w:val="24"/>
              </w:rPr>
            </w:r>
          </w:p>
        </w:tc>
      </w:tr>
      <w:tr>
        <w:trPr>
          <w:trHeight w:val="300" w:hRule="atLeast"/>
        </w:trPr>
        <w:tc>
          <w:tcPr>
            <w:tcW w:w="3093" w:type="dxa"/>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t>5.7. Avanso užtikrinimas</w:t>
            </w:r>
          </w:p>
        </w:tc>
        <w:tc>
          <w:tcPr>
            <w:tcW w:w="6437" w:type="dxa"/>
            <w:gridSpan w:val="3"/>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Netaikoma</w:t>
            </w:r>
          </w:p>
          <w:p>
            <w:pPr>
              <w:pStyle w:val="Normal"/>
              <w:rPr>
                <w:kern w:val="2"/>
                <w:szCs w:val="24"/>
              </w:rPr>
            </w:pPr>
            <w:r>
              <w:rPr>
                <w:kern w:val="2"/>
                <w:szCs w:val="24"/>
              </w:rPr>
            </w:r>
          </w:p>
          <w:p>
            <w:pPr>
              <w:pStyle w:val="Normal"/>
              <w:rPr>
                <w:color w:val="FF0000"/>
                <w:kern w:val="2"/>
                <w:szCs w:val="24"/>
              </w:rPr>
            </w:pPr>
            <w:r>
              <w:rPr>
                <w:color w:val="FF0000"/>
                <w:kern w:val="2"/>
                <w:szCs w:val="24"/>
              </w:rPr>
            </w:r>
          </w:p>
        </w:tc>
      </w:tr>
      <w:tr>
        <w:trPr>
          <w:trHeight w:val="300" w:hRule="atLeast"/>
        </w:trPr>
        <w:tc>
          <w:tcPr>
            <w:tcW w:w="9530" w:type="dxa"/>
            <w:gridSpan w:val="4"/>
            <w:tcBorders>
              <w:top w:val="single" w:sz="4" w:space="0" w:color="000000"/>
              <w:left w:val="single" w:sz="4" w:space="0" w:color="000000"/>
              <w:bottom w:val="single" w:sz="4" w:space="0" w:color="000000"/>
              <w:right w:val="single" w:sz="4" w:space="0" w:color="000000"/>
            </w:tcBorders>
          </w:tcPr>
          <w:p>
            <w:pPr>
              <w:pStyle w:val="Normal"/>
              <w:jc w:val="center"/>
              <w:rPr>
                <w:b/>
                <w:kern w:val="2"/>
                <w:szCs w:val="24"/>
              </w:rPr>
            </w:pPr>
            <w:r>
              <w:rPr>
                <w:b/>
                <w:kern w:val="2"/>
                <w:szCs w:val="24"/>
              </w:rPr>
              <w:t>6. PASLAUGŲ KOKYBĖ IR GARANTINIAI ĮSIPAREIGOJIMAI</w:t>
            </w:r>
          </w:p>
        </w:tc>
      </w:tr>
      <w:tr>
        <w:trPr>
          <w:trHeight w:val="300" w:hRule="atLeast"/>
        </w:trPr>
        <w:tc>
          <w:tcPr>
            <w:tcW w:w="3093" w:type="dxa"/>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t>6.1. Garantinis terminas</w:t>
            </w:r>
          </w:p>
        </w:tc>
        <w:tc>
          <w:tcPr>
            <w:tcW w:w="6437" w:type="dxa"/>
            <w:gridSpan w:val="3"/>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Netaikoma</w:t>
            </w:r>
          </w:p>
          <w:p>
            <w:pPr>
              <w:pStyle w:val="Normal"/>
              <w:rPr>
                <w:kern w:val="2"/>
                <w:szCs w:val="24"/>
              </w:rPr>
            </w:pPr>
            <w:r>
              <w:rPr>
                <w:kern w:val="2"/>
                <w:szCs w:val="24"/>
              </w:rPr>
            </w:r>
          </w:p>
          <w:p>
            <w:pPr>
              <w:pStyle w:val="Normal"/>
              <w:rPr>
                <w:color w:val="FF0000"/>
                <w:kern w:val="2"/>
                <w:szCs w:val="24"/>
              </w:rPr>
            </w:pPr>
            <w:r>
              <w:rPr>
                <w:color w:val="FF0000"/>
                <w:kern w:val="2"/>
                <w:szCs w:val="24"/>
              </w:rPr>
            </w:r>
          </w:p>
        </w:tc>
      </w:tr>
      <w:tr>
        <w:trPr>
          <w:trHeight w:val="300" w:hRule="atLeast"/>
        </w:trPr>
        <w:tc>
          <w:tcPr>
            <w:tcW w:w="3093" w:type="dxa"/>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szCs w:val="24"/>
              </w:rPr>
              <w:t>6.2. Terminas Paslaugų trūkumams pašalinti</w:t>
            </w:r>
          </w:p>
        </w:tc>
        <w:tc>
          <w:tcPr>
            <w:tcW w:w="6437" w:type="dxa"/>
            <w:gridSpan w:val="3"/>
            <w:tcBorders>
              <w:top w:val="single" w:sz="4" w:space="0" w:color="000000"/>
              <w:left w:val="single" w:sz="4" w:space="0" w:color="000000"/>
              <w:bottom w:val="single" w:sz="4" w:space="0" w:color="000000"/>
              <w:right w:val="single" w:sz="4" w:space="0" w:color="000000"/>
            </w:tcBorders>
          </w:tcPr>
          <w:p>
            <w:pPr>
              <w:pStyle w:val="Normal"/>
              <w:rPr>
                <w:color w:val="000000"/>
              </w:rPr>
            </w:pPr>
            <w:r>
              <w:rPr>
                <w:color w:val="000000"/>
                <w:kern w:val="2"/>
                <w:szCs w:val="24"/>
              </w:rPr>
              <w:t>Bet kuriuo Sutarties galiojimo metu nustačius Paslaugų trūkumų, Tiekėjas turi ne vėliau kaip per terminą, nurodytą rašytinėje pretenzijoje, pašalinti Paslaugų trūkumus.</w:t>
            </w:r>
          </w:p>
        </w:tc>
      </w:tr>
      <w:tr>
        <w:trPr>
          <w:trHeight w:val="300" w:hRule="atLeast"/>
        </w:trPr>
        <w:tc>
          <w:tcPr>
            <w:tcW w:w="3093" w:type="dxa"/>
            <w:tcBorders>
              <w:top w:val="single" w:sz="4" w:space="0" w:color="000000"/>
              <w:left w:val="single" w:sz="4" w:space="0" w:color="000000"/>
              <w:bottom w:val="single" w:sz="4" w:space="0" w:color="000000"/>
              <w:right w:val="single" w:sz="4" w:space="0" w:color="000000"/>
            </w:tcBorders>
          </w:tcPr>
          <w:p>
            <w:pPr>
              <w:pStyle w:val="Normal"/>
              <w:rPr>
                <w:b/>
                <w:szCs w:val="24"/>
              </w:rPr>
            </w:pPr>
            <w:r>
              <w:rPr>
                <w:b/>
                <w:szCs w:val="24"/>
              </w:rPr>
              <w:t xml:space="preserve">6.3. Kokybinių kriterijų įgyvendinimo </w:t>
            </w:r>
            <w:r>
              <w:rPr>
                <w:b/>
                <w:bCs/>
                <w:szCs w:val="24"/>
              </w:rPr>
              <w:t xml:space="preserve">ir </w:t>
            </w:r>
            <w:r>
              <w:rPr>
                <w:b/>
                <w:szCs w:val="24"/>
              </w:rPr>
              <w:t>tikrinimo tvarka</w:t>
            </w:r>
          </w:p>
        </w:tc>
        <w:tc>
          <w:tcPr>
            <w:tcW w:w="6437" w:type="dxa"/>
            <w:gridSpan w:val="3"/>
            <w:tcBorders>
              <w:top w:val="single" w:sz="4" w:space="0" w:color="000000"/>
              <w:left w:val="single" w:sz="4" w:space="0" w:color="000000"/>
              <w:bottom w:val="single" w:sz="4" w:space="0" w:color="000000"/>
              <w:right w:val="single" w:sz="4" w:space="0" w:color="000000"/>
            </w:tcBorders>
          </w:tcPr>
          <w:p>
            <w:pPr>
              <w:pStyle w:val="Normal"/>
              <w:rPr>
                <w:color w:val="000000"/>
              </w:rPr>
            </w:pPr>
            <w:r>
              <w:rPr>
                <w:color w:val="000000"/>
                <w:kern w:val="2"/>
                <w:szCs w:val="24"/>
              </w:rPr>
              <w:t>Pirkėjas bet kuriuo sutarties vykdymo metu gali paprašyti pateikti informaciją apie projekto vadovą. Projekto vadovu gali būti tik pasiūlyme nurodytas asmuo.</w:t>
            </w:r>
          </w:p>
        </w:tc>
      </w:tr>
      <w:tr>
        <w:trPr>
          <w:trHeight w:val="300" w:hRule="atLeast"/>
        </w:trPr>
        <w:tc>
          <w:tcPr>
            <w:tcW w:w="9530" w:type="dxa"/>
            <w:gridSpan w:val="4"/>
            <w:tcBorders>
              <w:top w:val="single" w:sz="4" w:space="0" w:color="000000"/>
              <w:left w:val="single" w:sz="4" w:space="0" w:color="000000"/>
              <w:bottom w:val="single" w:sz="4" w:space="0" w:color="000000"/>
              <w:right w:val="single" w:sz="4" w:space="0" w:color="000000"/>
            </w:tcBorders>
          </w:tcPr>
          <w:p>
            <w:pPr>
              <w:pStyle w:val="Normal"/>
              <w:jc w:val="center"/>
              <w:rPr>
                <w:b/>
                <w:kern w:val="2"/>
                <w:szCs w:val="24"/>
              </w:rPr>
            </w:pPr>
            <w:r>
              <w:rPr>
                <w:b/>
                <w:kern w:val="2"/>
                <w:szCs w:val="24"/>
              </w:rPr>
              <w:t>7. SUTARTIES VYKDYMUI PASITELKIAMI SUBTIEKĖJAI IR (AR) SPECIALISTAI</w:t>
            </w:r>
          </w:p>
        </w:tc>
      </w:tr>
      <w:tr>
        <w:trPr>
          <w:trHeight w:val="300" w:hRule="atLeast"/>
        </w:trPr>
        <w:tc>
          <w:tcPr>
            <w:tcW w:w="3093" w:type="dxa"/>
            <w:tcBorders>
              <w:top w:val="single" w:sz="4" w:space="0" w:color="000000"/>
              <w:left w:val="single" w:sz="4" w:space="0" w:color="000000"/>
              <w:bottom w:val="single" w:sz="4" w:space="0" w:color="000000"/>
              <w:right w:val="single" w:sz="4" w:space="0" w:color="000000"/>
            </w:tcBorders>
          </w:tcPr>
          <w:p>
            <w:pPr>
              <w:pStyle w:val="Normal"/>
              <w:rPr>
                <w:b/>
                <w:bCs/>
                <w:kern w:val="2"/>
                <w:szCs w:val="24"/>
              </w:rPr>
            </w:pPr>
            <w:r>
              <w:rPr>
                <w:b/>
                <w:bCs/>
                <w:kern w:val="2"/>
                <w:szCs w:val="24"/>
              </w:rPr>
              <w:t>7.1. Sutarties vykdymui pasitelkiami subtiekėjai ir (ar) specialistai</w:t>
            </w:r>
          </w:p>
        </w:tc>
        <w:tc>
          <w:tcPr>
            <w:tcW w:w="6437" w:type="dxa"/>
            <w:gridSpan w:val="3"/>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Sutarties vykdymui subtiekėjai ir (ar) specialistai nepasitelkiami.</w:t>
            </w:r>
          </w:p>
          <w:p>
            <w:pPr>
              <w:pStyle w:val="Normal"/>
              <w:rPr>
                <w:kern w:val="2"/>
                <w:szCs w:val="24"/>
              </w:rPr>
            </w:pPr>
            <w:r>
              <w:rPr>
                <w:kern w:val="2"/>
                <w:szCs w:val="24"/>
              </w:rPr>
            </w:r>
          </w:p>
          <w:p>
            <w:pPr>
              <w:pStyle w:val="Normal"/>
              <w:rPr>
                <w:color w:val="FF0000"/>
                <w:kern w:val="2"/>
                <w:szCs w:val="24"/>
              </w:rPr>
            </w:pPr>
            <w:r>
              <w:rPr>
                <w:color w:val="FF0000"/>
                <w:kern w:val="2"/>
                <w:szCs w:val="24"/>
              </w:rPr>
              <w:t>arba</w:t>
            </w:r>
          </w:p>
          <w:p>
            <w:pPr>
              <w:pStyle w:val="Normal"/>
              <w:rPr>
                <w:kern w:val="2"/>
                <w:szCs w:val="24"/>
              </w:rPr>
            </w:pPr>
            <w:r>
              <w:rPr>
                <w:kern w:val="2"/>
                <w:szCs w:val="24"/>
              </w:rPr>
            </w:r>
          </w:p>
          <w:p>
            <w:pPr>
              <w:pStyle w:val="Normal"/>
              <w:rPr>
                <w:b/>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trPr>
          <w:trHeight w:val="300" w:hRule="atLeast"/>
        </w:trPr>
        <w:tc>
          <w:tcPr>
            <w:tcW w:w="9530" w:type="dxa"/>
            <w:gridSpan w:val="4"/>
            <w:tcBorders>
              <w:top w:val="single" w:sz="4" w:space="0" w:color="000000"/>
              <w:left w:val="single" w:sz="4" w:space="0" w:color="000000"/>
              <w:bottom w:val="single" w:sz="4" w:space="0" w:color="000000"/>
              <w:right w:val="single" w:sz="4" w:space="0" w:color="000000"/>
            </w:tcBorders>
          </w:tcPr>
          <w:p>
            <w:pPr>
              <w:pStyle w:val="Normal"/>
              <w:jc w:val="center"/>
              <w:rPr>
                <w:b/>
                <w:kern w:val="2"/>
                <w:szCs w:val="24"/>
              </w:rPr>
            </w:pPr>
            <w:r>
              <w:rPr>
                <w:b/>
                <w:kern w:val="2"/>
                <w:szCs w:val="24"/>
              </w:rPr>
              <w:t>8. PRIEVOLIŲ PAGAL SUTARTĮ ĮVYKDYMO UŽTIKRINIMAS</w:t>
            </w:r>
          </w:p>
        </w:tc>
      </w:tr>
      <w:tr>
        <w:trPr>
          <w:trHeight w:val="300" w:hRule="atLeast"/>
        </w:trPr>
        <w:tc>
          <w:tcPr>
            <w:tcW w:w="3093" w:type="dxa"/>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t>8.1. Prievolių pagal Sutartį įvykdymo užtikrinimas</w:t>
            </w:r>
          </w:p>
        </w:tc>
        <w:tc>
          <w:tcPr>
            <w:tcW w:w="6437" w:type="dxa"/>
            <w:gridSpan w:val="3"/>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Prievolių pagal Sutartį įvykdymas užtikrinamas:</w:t>
            </w:r>
          </w:p>
          <w:p>
            <w:pPr>
              <w:pStyle w:val="Normal"/>
              <w:rPr>
                <w:kern w:val="2"/>
                <w:szCs w:val="24"/>
              </w:rPr>
            </w:pPr>
            <w:r>
              <w:rPr>
                <w:kern w:val="2"/>
                <w:szCs w:val="24"/>
              </w:rPr>
              <w:t>Netesybomis (delspinigiais);</w:t>
            </w:r>
          </w:p>
          <w:p>
            <w:pPr>
              <w:pStyle w:val="Normal"/>
              <w:rPr>
                <w:color w:val="000000"/>
              </w:rPr>
            </w:pPr>
            <w:r>
              <w:rPr>
                <w:color w:val="000000"/>
                <w:kern w:val="2"/>
                <w:szCs w:val="24"/>
              </w:rPr>
              <w:t>Pirmo pareikalavimo banko garantija</w:t>
            </w:r>
          </w:p>
          <w:p>
            <w:pPr>
              <w:pStyle w:val="Normal"/>
              <w:rPr>
                <w:color w:val="000000"/>
              </w:rPr>
            </w:pPr>
            <w:r>
              <w:rPr>
                <w:color w:val="000000"/>
                <w:kern w:val="2"/>
                <w:szCs w:val="24"/>
              </w:rPr>
              <w:t>arba</w:t>
            </w:r>
          </w:p>
          <w:p>
            <w:pPr>
              <w:pStyle w:val="Normal"/>
              <w:rPr>
                <w:color w:val="000000"/>
              </w:rPr>
            </w:pPr>
            <w:r>
              <w:rPr>
                <w:color w:val="000000"/>
                <w:kern w:val="2"/>
                <w:szCs w:val="24"/>
              </w:rPr>
              <w:t>Draudimo bendrovės laidavimo draudimu</w:t>
            </w:r>
          </w:p>
          <w:p>
            <w:pPr>
              <w:pStyle w:val="ListParagraph"/>
              <w:ind w:left="0"/>
              <w:jc w:val="both"/>
              <w:rPr>
                <w:color w:val="000000"/>
              </w:rPr>
            </w:pPr>
            <w:r>
              <w:rPr>
                <w:color w:val="000000"/>
                <w:kern w:val="2"/>
                <w:szCs w:val="24"/>
              </w:rPr>
              <w:t>Sutarties įvykdymo užtikrinimo dydis – 3 (trys) proc. nuo Pradinės Sutarties vertės (Eur be PVM).</w:t>
            </w:r>
            <w:bookmarkStart w:id="0" w:name="_Hlk193440454"/>
            <w:bookmarkEnd w:id="0"/>
          </w:p>
        </w:tc>
      </w:tr>
      <w:tr>
        <w:trPr>
          <w:trHeight w:val="300" w:hRule="atLeast"/>
        </w:trPr>
        <w:tc>
          <w:tcPr>
            <w:tcW w:w="3093" w:type="dxa"/>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t>8.2 Sutarties įvykdymo užtikrinimo galiojimo terminas</w:t>
            </w:r>
          </w:p>
        </w:tc>
        <w:tc>
          <w:tcPr>
            <w:tcW w:w="6437" w:type="dxa"/>
            <w:gridSpan w:val="3"/>
            <w:tcBorders>
              <w:top w:val="single" w:sz="4" w:space="0" w:color="000000"/>
              <w:left w:val="single" w:sz="4" w:space="0" w:color="000000"/>
              <w:bottom w:val="single" w:sz="4" w:space="0" w:color="000000"/>
              <w:right w:val="single" w:sz="4" w:space="0" w:color="000000"/>
            </w:tcBorders>
          </w:tcPr>
          <w:p>
            <w:pPr>
              <w:pStyle w:val="Normal"/>
              <w:rPr>
                <w:kern w:val="2"/>
                <w:szCs w:val="24"/>
              </w:rPr>
            </w:pPr>
            <w:r>
              <w:rPr>
                <w:bCs/>
                <w:kern w:val="2"/>
                <w:szCs w:val="24"/>
              </w:rPr>
              <w:t xml:space="preserve">Sutarties įvykdymo užtikrinimo galiojimo terminas turi būti ne trumpesnis nei </w:t>
            </w:r>
            <w:r>
              <w:rPr>
                <w:kern w:val="2"/>
                <w:szCs w:val="24"/>
              </w:rPr>
              <w:t>Sutarties galiojimo terminas.</w:t>
            </w:r>
          </w:p>
        </w:tc>
      </w:tr>
      <w:tr>
        <w:trPr>
          <w:trHeight w:val="300" w:hRule="atLeast"/>
        </w:trPr>
        <w:tc>
          <w:tcPr>
            <w:tcW w:w="3093" w:type="dxa"/>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t>8.3. Sutarties įvykdymo užtikrinimo pateikimas</w:t>
            </w:r>
          </w:p>
        </w:tc>
        <w:tc>
          <w:tcPr>
            <w:tcW w:w="6437" w:type="dxa"/>
            <w:gridSpan w:val="3"/>
            <w:tcBorders>
              <w:top w:val="single" w:sz="4" w:space="0" w:color="000000"/>
              <w:left w:val="single" w:sz="4" w:space="0" w:color="000000"/>
              <w:bottom w:val="single" w:sz="4" w:space="0" w:color="000000"/>
              <w:right w:val="single" w:sz="4" w:space="0" w:color="000000"/>
            </w:tcBorders>
          </w:tcPr>
          <w:p>
            <w:pPr>
              <w:pStyle w:val="Normal"/>
              <w:jc w:val="both"/>
              <w:rPr>
                <w:szCs w:val="24"/>
              </w:rPr>
            </w:pPr>
            <w:r>
              <w:rPr>
                <w:color w:val="000000"/>
                <w:kern w:val="2"/>
                <w:szCs w:val="24"/>
                <w:shd w:fill="FFFFFF" w:val="clear"/>
              </w:rPr>
              <w:t>Tiekėjas ne vėliau kaip per kaip 10 (dešimt) darbo dienų nuo Sutarties pasirašymo dienos turi pateikti Pirkėjui 3 (trijų) proc. nuo Pradinės Sutarties vertės (Eur be PVM) dydžio pirmo pareikalavimo banko garantiją arba draudimo bendrovės laidavimo draudimo raštą</w:t>
            </w:r>
            <w:r>
              <w:rPr>
                <w:rFonts w:eastAsia="Cambria"/>
                <w:color w:val="000000"/>
                <w:kern w:val="2"/>
                <w:szCs w:val="24"/>
                <w:shd w:fill="FFFFFF" w:val="clear"/>
              </w:rPr>
              <w:t>(kartu su draudimo bendrovės laidavimo draudimo raštu turi būti pateiktas ir pasirašytas draudimo liudijimas (polisas) bei dokumentas, įrodantis, kad draudimo įmoka už išduotą laidavimo draudimo raštą yra sumokėta)</w:t>
            </w:r>
            <w:r>
              <w:rPr>
                <w:color w:val="000000"/>
                <w:kern w:val="2"/>
                <w:szCs w:val="24"/>
                <w:shd w:fill="FFFFFF" w:val="clear"/>
              </w:rPr>
              <w:t>, atitinkančius Bendrųjų sąlygų 10 skyriaus reikalavimus. Esant poreikiui, gavus Tiekėjo prašymą, šis terminas gali būti pratęstas Šalių suderintam terminui.</w:t>
            </w:r>
          </w:p>
        </w:tc>
      </w:tr>
      <w:tr>
        <w:trPr>
          <w:trHeight w:val="300" w:hRule="atLeast"/>
        </w:trPr>
        <w:tc>
          <w:tcPr>
            <w:tcW w:w="9530" w:type="dxa"/>
            <w:gridSpan w:val="4"/>
            <w:tcBorders>
              <w:top w:val="single" w:sz="4" w:space="0" w:color="000000"/>
              <w:left w:val="single" w:sz="4" w:space="0" w:color="000000"/>
              <w:bottom w:val="single" w:sz="4" w:space="0" w:color="000000"/>
              <w:right w:val="single" w:sz="4" w:space="0" w:color="000000"/>
            </w:tcBorders>
          </w:tcPr>
          <w:p>
            <w:pPr>
              <w:pStyle w:val="Normal"/>
              <w:jc w:val="center"/>
              <w:rPr>
                <w:b/>
                <w:kern w:val="2"/>
                <w:szCs w:val="24"/>
              </w:rPr>
            </w:pPr>
            <w:r>
              <w:rPr>
                <w:b/>
                <w:kern w:val="2"/>
                <w:szCs w:val="24"/>
              </w:rPr>
              <w:t>9. ŠALIŲ ATSAKOMYBĖ</w:t>
            </w:r>
          </w:p>
        </w:tc>
      </w:tr>
      <w:tr>
        <w:trPr>
          <w:trHeight w:val="300" w:hRule="atLeast"/>
        </w:trPr>
        <w:tc>
          <w:tcPr>
            <w:tcW w:w="3093" w:type="dxa"/>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t>9.1. Pirkėjui taikomos netesybos už mokėjimų pagal Sutartį vėlavimą</w:t>
            </w:r>
          </w:p>
        </w:tc>
        <w:tc>
          <w:tcPr>
            <w:tcW w:w="6437" w:type="dxa"/>
            <w:gridSpan w:val="3"/>
            <w:tcBorders>
              <w:top w:val="single" w:sz="4" w:space="0" w:color="000000"/>
              <w:left w:val="single" w:sz="4" w:space="0" w:color="000000"/>
              <w:bottom w:val="single" w:sz="4" w:space="0" w:color="000000"/>
              <w:right w:val="single" w:sz="4" w:space="0" w:color="000000"/>
            </w:tcBorders>
          </w:tcPr>
          <w:p>
            <w:pPr>
              <w:pStyle w:val="Normal"/>
              <w:rPr>
                <w:color w:val="FF0000"/>
                <w:kern w:val="2"/>
                <w:szCs w:val="24"/>
              </w:rPr>
            </w:pPr>
            <w:r>
              <w:rPr>
                <w:color w:val="000000"/>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trPr>
          <w:trHeight w:val="300" w:hRule="atLeast"/>
        </w:trPr>
        <w:tc>
          <w:tcPr>
            <w:tcW w:w="3093" w:type="dxa"/>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szCs w:val="24"/>
              </w:rPr>
              <w:t>9.2. Tiekėjui taikomos netesybos</w:t>
            </w:r>
          </w:p>
        </w:tc>
        <w:tc>
          <w:tcPr>
            <w:tcW w:w="6437" w:type="dxa"/>
            <w:gridSpan w:val="3"/>
            <w:tcBorders>
              <w:top w:val="single" w:sz="4" w:space="0" w:color="000000"/>
              <w:left w:val="single" w:sz="4" w:space="0" w:color="000000"/>
              <w:bottom w:val="single" w:sz="4" w:space="0" w:color="000000"/>
              <w:right w:val="single" w:sz="4" w:space="0" w:color="000000"/>
            </w:tcBorders>
          </w:tcPr>
          <w:p>
            <w:pPr>
              <w:pStyle w:val="Normal"/>
              <w:rPr>
                <w:color w:val="000000"/>
                <w:kern w:val="2"/>
                <w:szCs w:val="24"/>
              </w:rPr>
            </w:pPr>
            <w:r>
              <w:rPr>
                <w:color w:val="000000"/>
                <w:kern w:val="2"/>
                <w:szCs w:val="24"/>
              </w:rPr>
              <w:t>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pPr>
              <w:pStyle w:val="Normal"/>
              <w:rPr>
                <w:color w:val="000000"/>
                <w:kern w:val="2"/>
                <w:szCs w:val="24"/>
              </w:rPr>
            </w:pPr>
            <w:r>
              <w:rPr>
                <w:color w:val="000000"/>
                <w:kern w:val="2"/>
                <w:szCs w:val="24"/>
              </w:rPr>
            </w:r>
          </w:p>
          <w:p>
            <w:pPr>
              <w:pStyle w:val="Normal"/>
              <w:rPr>
                <w:b w:val="false"/>
                <w:bCs w:val="false"/>
              </w:rPr>
            </w:pPr>
            <w:r>
              <w:rPr>
                <w:b w:val="false"/>
                <w:bCs w:val="false"/>
                <w:color w:val="000000"/>
                <w:kern w:val="2"/>
                <w:szCs w:val="24"/>
              </w:rPr>
              <w:t>9.2.2. Tiekėjas privalo sumokėti Pirkėjui netesybas per 30 dienų nuo Pirkėjo pareikalavimo, jeigu netesybų suma nėra išskaitoma iš Tiekėjui mokėtinos sumos.</w:t>
            </w:r>
          </w:p>
        </w:tc>
      </w:tr>
      <w:tr>
        <w:trPr>
          <w:trHeight w:val="300" w:hRule="atLeast"/>
        </w:trPr>
        <w:tc>
          <w:tcPr>
            <w:tcW w:w="3093" w:type="dxa"/>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37" w:type="dxa"/>
            <w:gridSpan w:val="3"/>
            <w:tcBorders>
              <w:top w:val="single" w:sz="4" w:space="0" w:color="000000"/>
              <w:left w:val="single" w:sz="4" w:space="0" w:color="000000"/>
              <w:bottom w:val="single" w:sz="4" w:space="0" w:color="000000"/>
              <w:right w:val="single" w:sz="4" w:space="0" w:color="000000"/>
            </w:tcBorders>
          </w:tcPr>
          <w:p>
            <w:pPr>
              <w:pStyle w:val="Normal"/>
              <w:rPr>
                <w:szCs w:val="24"/>
              </w:rPr>
            </w:pPr>
            <w:r>
              <w:rPr>
                <w:kern w:val="2"/>
                <w:szCs w:val="24"/>
              </w:rPr>
              <w:t>9.3.1. Nutraukus Sutartį dėl esminio Sutarties pažeidimo, nustatyto Sutarties Specialiosiose sąlygose, mokama 5 procentų dydžio bauda nuo Pradinės Sutarties vertės, nurodytos Specialiųjų sąlygų 5.2 punkte.</w:t>
            </w:r>
          </w:p>
          <w:p>
            <w:pPr>
              <w:pStyle w:val="Normal"/>
              <w:rPr>
                <w:kern w:val="2"/>
                <w:szCs w:val="24"/>
              </w:rPr>
            </w:pPr>
            <w:r>
              <w:rPr>
                <w:kern w:val="2"/>
                <w:szCs w:val="24"/>
              </w:rPr>
            </w:r>
          </w:p>
          <w:p>
            <w:pPr>
              <w:pStyle w:val="Normal"/>
              <w:rPr>
                <w:color w:val="000000"/>
              </w:rPr>
            </w:pPr>
            <w:r>
              <w:rPr>
                <w:color w:val="000000"/>
                <w:kern w:val="2"/>
                <w:szCs w:val="24"/>
              </w:rPr>
              <w:t>9.3.2. Nepagrįstai nutraukus Sutarties vykdymą ne Sutartyje nustatyta tvarka, mokama 5 procentų dydžio bauda nuo Pradinės Sutarties vertės, nurodytos Specialiųjų sąlygų 5.2 punkte.</w:t>
            </w:r>
          </w:p>
        </w:tc>
      </w:tr>
      <w:tr>
        <w:trPr>
          <w:trHeight w:val="300" w:hRule="atLeast"/>
        </w:trPr>
        <w:tc>
          <w:tcPr>
            <w:tcW w:w="3093" w:type="dxa"/>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37" w:type="dxa"/>
            <w:gridSpan w:val="3"/>
            <w:tcBorders>
              <w:top w:val="single" w:sz="4" w:space="0" w:color="000000"/>
              <w:left w:val="single" w:sz="4" w:space="0" w:color="000000"/>
              <w:bottom w:val="single" w:sz="4" w:space="0" w:color="000000"/>
              <w:right w:val="single" w:sz="4" w:space="0" w:color="000000"/>
            </w:tcBorders>
          </w:tcPr>
          <w:p>
            <w:pPr>
              <w:pStyle w:val="Normal"/>
              <w:rPr>
                <w:color w:val="000000"/>
              </w:rPr>
            </w:pPr>
            <w:r>
              <w:rPr>
                <w:color w:val="000000"/>
                <w:kern w:val="2"/>
                <w:szCs w:val="24"/>
              </w:rPr>
              <w:t>500 Eur (penki šimtai Eur) taikoma už kiekvieną pažeidimo atvejį, įvertinant ir tai, ar Sutartį gali vykdyti subtiekėjas ir (ar) specialistas, kurio kvalifikacija buvo vertinama kokybiniams kriterijams pagrįsti)</w:t>
            </w:r>
          </w:p>
        </w:tc>
      </w:tr>
      <w:tr>
        <w:trPr>
          <w:trHeight w:val="300" w:hRule="atLeast"/>
        </w:trPr>
        <w:tc>
          <w:tcPr>
            <w:tcW w:w="3093" w:type="dxa"/>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t>9.5. Tiekėjui taikomos baudos dėl aplinkosauginių ir (arba) socialinių kriterijų nesilaikymo</w:t>
            </w:r>
          </w:p>
        </w:tc>
        <w:tc>
          <w:tcPr>
            <w:tcW w:w="6437" w:type="dxa"/>
            <w:gridSpan w:val="3"/>
            <w:tcBorders>
              <w:top w:val="single" w:sz="4" w:space="0" w:color="000000"/>
              <w:left w:val="single" w:sz="4" w:space="0" w:color="000000"/>
              <w:bottom w:val="single" w:sz="4" w:space="0" w:color="000000"/>
              <w:right w:val="single" w:sz="4" w:space="0" w:color="000000"/>
            </w:tcBorders>
          </w:tcPr>
          <w:p>
            <w:pPr>
              <w:pStyle w:val="Normal"/>
              <w:rPr>
                <w:color w:val="000000"/>
                <w:kern w:val="2"/>
                <w:szCs w:val="24"/>
              </w:rPr>
            </w:pPr>
            <w:r>
              <w:rPr>
                <w:color w:val="000000"/>
                <w:kern w:val="2"/>
                <w:szCs w:val="24"/>
              </w:rPr>
              <w:t>Netaikoma</w:t>
            </w:r>
          </w:p>
          <w:p>
            <w:pPr>
              <w:pStyle w:val="Normal"/>
              <w:rPr>
                <w:kern w:val="2"/>
                <w:szCs w:val="24"/>
              </w:rPr>
            </w:pPr>
            <w:r>
              <w:rPr>
                <w:kern w:val="2"/>
                <w:szCs w:val="24"/>
              </w:rPr>
            </w:r>
          </w:p>
          <w:p>
            <w:pPr>
              <w:pStyle w:val="Normal"/>
              <w:rPr>
                <w:color w:val="FF0000"/>
                <w:kern w:val="2"/>
                <w:szCs w:val="24"/>
              </w:rPr>
            </w:pPr>
            <w:r>
              <w:rPr>
                <w:color w:val="FF0000"/>
                <w:kern w:val="2"/>
                <w:szCs w:val="24"/>
              </w:rPr>
            </w:r>
          </w:p>
        </w:tc>
      </w:tr>
      <w:tr>
        <w:trPr>
          <w:trHeight w:val="300" w:hRule="atLeast"/>
        </w:trPr>
        <w:tc>
          <w:tcPr>
            <w:tcW w:w="3093" w:type="dxa"/>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t>9.6. Tiekėjui / Pirkėjui taikoma bauda dėl konfidencialumo reikalavimų nesilaikymo</w:t>
            </w:r>
          </w:p>
        </w:tc>
        <w:tc>
          <w:tcPr>
            <w:tcW w:w="6437" w:type="dxa"/>
            <w:gridSpan w:val="3"/>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Netaikoma</w:t>
            </w:r>
          </w:p>
          <w:p>
            <w:pPr>
              <w:pStyle w:val="Normal"/>
              <w:rPr>
                <w:kern w:val="2"/>
                <w:szCs w:val="24"/>
              </w:rPr>
            </w:pPr>
            <w:r>
              <w:rPr>
                <w:kern w:val="2"/>
                <w:szCs w:val="24"/>
              </w:rPr>
            </w:r>
          </w:p>
          <w:p>
            <w:pPr>
              <w:pStyle w:val="Normal"/>
              <w:rPr>
                <w:color w:val="FF0000"/>
                <w:kern w:val="2"/>
                <w:szCs w:val="24"/>
              </w:rPr>
            </w:pPr>
            <w:r>
              <w:rPr>
                <w:color w:val="FF0000"/>
                <w:kern w:val="2"/>
                <w:szCs w:val="24"/>
              </w:rPr>
            </w:r>
          </w:p>
        </w:tc>
      </w:tr>
      <w:tr>
        <w:trPr>
          <w:trHeight w:val="300" w:hRule="atLeast"/>
        </w:trPr>
        <w:tc>
          <w:tcPr>
            <w:tcW w:w="3093" w:type="dxa"/>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t>9.7. Tiekėjui taikomos netesybos dėl pirkimo dokumentuose nustatytų kokybinių kriterijų nepasiekimo Sutarties vykdymo metu</w:t>
            </w:r>
          </w:p>
        </w:tc>
        <w:tc>
          <w:tcPr>
            <w:tcW w:w="6437" w:type="dxa"/>
            <w:gridSpan w:val="3"/>
            <w:tcBorders>
              <w:top w:val="single" w:sz="4" w:space="0" w:color="000000"/>
              <w:left w:val="single" w:sz="4" w:space="0" w:color="000000"/>
              <w:bottom w:val="single" w:sz="4" w:space="0" w:color="000000"/>
              <w:right w:val="single" w:sz="4" w:space="0" w:color="000000"/>
            </w:tcBorders>
          </w:tcPr>
          <w:p>
            <w:pPr>
              <w:pStyle w:val="Normal"/>
              <w:rPr>
                <w:b w:val="false"/>
                <w:bCs w:val="false"/>
                <w:color w:val="000000"/>
                <w:szCs w:val="24"/>
              </w:rPr>
            </w:pPr>
            <w:r>
              <w:rPr>
                <w:b w:val="false"/>
                <w:bCs w:val="false"/>
                <w:color w:val="000000"/>
                <w:szCs w:val="24"/>
              </w:rPr>
              <w:t>Netaikoma</w:t>
            </w:r>
          </w:p>
          <w:p>
            <w:pPr>
              <w:pStyle w:val="Normal"/>
              <w:rPr>
                <w:color w:val="FF0000"/>
                <w:kern w:val="2"/>
                <w:szCs w:val="24"/>
              </w:rPr>
            </w:pPr>
            <w:r>
              <w:rPr>
                <w:color w:val="FF0000"/>
                <w:kern w:val="2"/>
                <w:szCs w:val="24"/>
              </w:rPr>
            </w:r>
          </w:p>
        </w:tc>
      </w:tr>
      <w:tr>
        <w:trPr>
          <w:trHeight w:val="1291" w:hRule="atLeast"/>
        </w:trPr>
        <w:tc>
          <w:tcPr>
            <w:tcW w:w="3093" w:type="dxa"/>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t xml:space="preserve">9.8. Tiekėjui taikomos netesybos dėl Sutarties įvykdymo užtikrinimo </w:t>
            </w:r>
            <w:r>
              <w:rPr>
                <w:b/>
                <w:bCs/>
                <w:szCs w:val="24"/>
              </w:rPr>
              <w:t>nepratęsimo</w:t>
            </w:r>
          </w:p>
        </w:tc>
        <w:tc>
          <w:tcPr>
            <w:tcW w:w="6437" w:type="dxa"/>
            <w:gridSpan w:val="3"/>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Netaikoma</w:t>
            </w:r>
          </w:p>
          <w:p>
            <w:pPr>
              <w:pStyle w:val="Normal"/>
              <w:rPr>
                <w:kern w:val="2"/>
                <w:szCs w:val="24"/>
              </w:rPr>
            </w:pPr>
            <w:r>
              <w:rPr>
                <w:kern w:val="2"/>
                <w:szCs w:val="24"/>
              </w:rPr>
            </w:r>
          </w:p>
          <w:p>
            <w:pPr>
              <w:pStyle w:val="Normal"/>
              <w:rPr>
                <w:color w:val="FF0000"/>
                <w:kern w:val="2"/>
                <w:szCs w:val="24"/>
              </w:rPr>
            </w:pPr>
            <w:r>
              <w:rPr>
                <w:color w:val="FF0000"/>
                <w:kern w:val="2"/>
                <w:szCs w:val="24"/>
              </w:rPr>
            </w:r>
          </w:p>
        </w:tc>
      </w:tr>
      <w:tr>
        <w:trPr>
          <w:trHeight w:val="300" w:hRule="atLeast"/>
        </w:trPr>
        <w:tc>
          <w:tcPr>
            <w:tcW w:w="3093" w:type="dxa"/>
            <w:tcBorders>
              <w:top w:val="single" w:sz="4" w:space="0" w:color="000000"/>
              <w:left w:val="single" w:sz="4" w:space="0" w:color="000000"/>
              <w:bottom w:val="single" w:sz="4" w:space="0" w:color="000000"/>
              <w:right w:val="single" w:sz="4" w:space="0" w:color="000000"/>
            </w:tcBorders>
          </w:tcPr>
          <w:p>
            <w:pPr>
              <w:pStyle w:val="Normal"/>
              <w:rPr>
                <w:b/>
                <w:bCs/>
                <w:kern w:val="2"/>
                <w:szCs w:val="24"/>
              </w:rPr>
            </w:pPr>
            <w:r>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437" w:type="dxa"/>
            <w:gridSpan w:val="3"/>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r>
          </w:p>
          <w:p>
            <w:pPr>
              <w:pStyle w:val="Normal"/>
              <w:rPr>
                <w:color w:val="000000"/>
                <w:szCs w:val="24"/>
              </w:rPr>
            </w:pPr>
            <w:r>
              <w:rPr>
                <w:color w:val="000000"/>
                <w:kern w:val="2"/>
                <w:szCs w:val="24"/>
              </w:rPr>
              <w:t>Netaikoma</w:t>
            </w:r>
          </w:p>
          <w:p>
            <w:pPr>
              <w:pStyle w:val="Normal"/>
              <w:rPr>
                <w:color w:val="4472C4"/>
                <w:kern w:val="2"/>
                <w:szCs w:val="24"/>
              </w:rPr>
            </w:pPr>
            <w:r>
              <w:rPr>
                <w:color w:val="4472C4"/>
                <w:kern w:val="2"/>
                <w:szCs w:val="24"/>
              </w:rPr>
            </w:r>
          </w:p>
        </w:tc>
      </w:tr>
      <w:tr>
        <w:trPr>
          <w:trHeight w:val="300" w:hRule="atLeast"/>
        </w:trPr>
        <w:tc>
          <w:tcPr>
            <w:tcW w:w="3093" w:type="dxa"/>
            <w:tcBorders>
              <w:top w:val="single" w:sz="4" w:space="0" w:color="000000"/>
              <w:left w:val="single" w:sz="4" w:space="0" w:color="000000"/>
              <w:bottom w:val="single" w:sz="4" w:space="0" w:color="000000"/>
              <w:right w:val="single" w:sz="4" w:space="0" w:color="000000"/>
            </w:tcBorders>
          </w:tcPr>
          <w:p>
            <w:pPr>
              <w:pStyle w:val="Normal"/>
              <w:rPr>
                <w:b/>
                <w:kern w:val="2"/>
                <w:szCs w:val="24"/>
                <w:lang w:val="en-US"/>
              </w:rPr>
            </w:pPr>
            <w:r>
              <w:rPr>
                <w:b/>
                <w:kern w:val="2"/>
                <w:szCs w:val="24"/>
                <w:lang w:val="en-US"/>
              </w:rPr>
              <w:t xml:space="preserve">9.9. </w:t>
            </w:r>
            <w:r>
              <w:rPr>
                <w:b/>
                <w:kern w:val="2"/>
                <w:szCs w:val="24"/>
              </w:rPr>
              <w:t>Kitos netesybos</w:t>
            </w:r>
          </w:p>
        </w:tc>
        <w:tc>
          <w:tcPr>
            <w:tcW w:w="6437" w:type="dxa"/>
            <w:gridSpan w:val="3"/>
            <w:tcBorders>
              <w:top w:val="single" w:sz="4" w:space="0" w:color="000000"/>
              <w:left w:val="single" w:sz="4" w:space="0" w:color="000000"/>
              <w:bottom w:val="single" w:sz="4" w:space="0" w:color="000000"/>
              <w:right w:val="single" w:sz="4" w:space="0" w:color="000000"/>
            </w:tcBorders>
          </w:tcPr>
          <w:p>
            <w:pPr>
              <w:pStyle w:val="Normal"/>
              <w:rPr>
                <w:color w:val="000000"/>
              </w:rPr>
            </w:pPr>
            <w:r>
              <w:rPr>
                <w:color w:val="000000"/>
                <w:kern w:val="2"/>
                <w:szCs w:val="24"/>
              </w:rPr>
              <w:t>Netaikoma</w:t>
            </w:r>
          </w:p>
        </w:tc>
      </w:tr>
      <w:tr>
        <w:trPr>
          <w:trHeight w:val="300" w:hRule="atLeast"/>
        </w:trPr>
        <w:tc>
          <w:tcPr>
            <w:tcW w:w="9530" w:type="dxa"/>
            <w:gridSpan w:val="4"/>
            <w:tcBorders>
              <w:top w:val="single" w:sz="4" w:space="0" w:color="000000"/>
              <w:left w:val="single" w:sz="4" w:space="0" w:color="000000"/>
              <w:bottom w:val="single" w:sz="4" w:space="0" w:color="000000"/>
              <w:right w:val="single" w:sz="4" w:space="0" w:color="000000"/>
            </w:tcBorders>
          </w:tcPr>
          <w:p>
            <w:pPr>
              <w:pStyle w:val="Normal"/>
              <w:jc w:val="center"/>
              <w:rPr>
                <w:color w:val="4472C4"/>
                <w:kern w:val="2"/>
                <w:szCs w:val="24"/>
              </w:rPr>
            </w:pPr>
            <w:r>
              <w:rPr>
                <w:b/>
                <w:kern w:val="2"/>
                <w:szCs w:val="24"/>
              </w:rPr>
              <w:t>10. ESMINĖS SUTARTIES SĄLYGOS</w:t>
            </w:r>
          </w:p>
        </w:tc>
      </w:tr>
      <w:tr>
        <w:trPr>
          <w:trHeight w:val="300" w:hRule="atLeast"/>
        </w:trPr>
        <w:tc>
          <w:tcPr>
            <w:tcW w:w="3093" w:type="dxa"/>
            <w:tcBorders>
              <w:top w:val="single" w:sz="4" w:space="0" w:color="000000"/>
              <w:left w:val="single" w:sz="4" w:space="0" w:color="000000"/>
              <w:bottom w:val="single" w:sz="4" w:space="0" w:color="000000"/>
              <w:right w:val="single" w:sz="4" w:space="0" w:color="000000"/>
            </w:tcBorders>
          </w:tcPr>
          <w:p>
            <w:pPr>
              <w:pStyle w:val="Normal"/>
              <w:rPr>
                <w:b/>
                <w:kern w:val="2"/>
                <w:szCs w:val="24"/>
                <w:lang w:val="en-US"/>
              </w:rPr>
            </w:pPr>
            <w:r>
              <w:rPr>
                <w:b/>
                <w:kern w:val="2"/>
                <w:szCs w:val="24"/>
                <w:lang w:val="en-US"/>
              </w:rPr>
              <w:t xml:space="preserve">10.1. </w:t>
            </w:r>
            <w:r>
              <w:rPr>
                <w:b/>
                <w:kern w:val="2"/>
                <w:szCs w:val="24"/>
              </w:rPr>
              <w:t>Esminės Sutarties sąlygos</w:t>
            </w:r>
          </w:p>
        </w:tc>
        <w:tc>
          <w:tcPr>
            <w:tcW w:w="6437" w:type="dxa"/>
            <w:gridSpan w:val="3"/>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Esminėmis laikomos šios sutarties sąlygos:</w:t>
            </w:r>
          </w:p>
          <w:p>
            <w:pPr>
              <w:pStyle w:val="Normal"/>
              <w:rPr>
                <w:kern w:val="2"/>
                <w:szCs w:val="24"/>
              </w:rPr>
            </w:pPr>
            <w:r>
              <w:rPr>
                <w:kern w:val="2"/>
                <w:szCs w:val="24"/>
              </w:rPr>
              <w:t>1. Paslaugų teikimo terminas</w:t>
            </w:r>
          </w:p>
          <w:p>
            <w:pPr>
              <w:pStyle w:val="Normal"/>
              <w:rPr>
                <w:kern w:val="2"/>
                <w:szCs w:val="24"/>
              </w:rPr>
            </w:pPr>
            <w:r>
              <w:rPr>
                <w:kern w:val="2"/>
                <w:szCs w:val="24"/>
              </w:rPr>
            </w:r>
          </w:p>
          <w:p>
            <w:pPr>
              <w:pStyle w:val="Normal"/>
              <w:rPr>
                <w:color w:val="4472C4"/>
                <w:kern w:val="2"/>
                <w:szCs w:val="24"/>
              </w:rPr>
            </w:pPr>
            <w:r>
              <w:rPr>
                <w:color w:val="4472C4"/>
                <w:kern w:val="2"/>
                <w:szCs w:val="24"/>
              </w:rPr>
            </w:r>
          </w:p>
        </w:tc>
      </w:tr>
      <w:tr>
        <w:trPr>
          <w:trHeight w:val="300" w:hRule="atLeast"/>
        </w:trPr>
        <w:tc>
          <w:tcPr>
            <w:tcW w:w="3093" w:type="dxa"/>
            <w:tcBorders>
              <w:left w:val="single" w:sz="4" w:space="0" w:color="000000"/>
              <w:bottom w:val="single" w:sz="4" w:space="0" w:color="000000"/>
              <w:right w:val="single" w:sz="4" w:space="0" w:color="000000"/>
            </w:tcBorders>
          </w:tcPr>
          <w:p>
            <w:pPr>
              <w:pStyle w:val="Normal"/>
              <w:rPr>
                <w:b/>
                <w:kern w:val="2"/>
                <w:szCs w:val="24"/>
                <w:lang w:val="en-US"/>
              </w:rPr>
            </w:pPr>
            <w:r>
              <w:rPr>
                <w:b/>
                <w:bCs/>
              </w:rPr>
              <w:t>10.2. Dideli arba nuolatiniai esminės Sutarties sąlygos vykdymo trūkumai</w:t>
            </w:r>
          </w:p>
        </w:tc>
        <w:tc>
          <w:tcPr>
            <w:tcW w:w="6437" w:type="dxa"/>
            <w:gridSpan w:val="3"/>
            <w:tcBorders>
              <w:left w:val="single" w:sz="4" w:space="0" w:color="000000"/>
              <w:bottom w:val="single" w:sz="4" w:space="0" w:color="000000"/>
              <w:right w:val="single" w:sz="4" w:space="0" w:color="000000"/>
            </w:tcBorders>
          </w:tcPr>
          <w:p>
            <w:pPr>
              <w:pStyle w:val="Normal"/>
              <w:rPr>
                <w:color w:val="000000"/>
              </w:rPr>
            </w:pPr>
            <w:r>
              <w:rPr>
                <w:color w:val="000000"/>
                <w:lang w:val="lt-LT"/>
              </w:rPr>
              <w:t>1. Dideliu ar nuolatiniu esminės Sutarties sąlygos vykdymo trūkumu laikomas tiekėjo uždelsimas, trunkantis daugiau nei 1 mėn. suteikti paslaugas Techninėje specifikacijoje nustatytu terminu.</w:t>
            </w:r>
          </w:p>
          <w:p>
            <w:pPr>
              <w:pStyle w:val="Normal"/>
              <w:rPr>
                <w:kern w:val="2"/>
                <w:szCs w:val="24"/>
              </w:rPr>
            </w:pPr>
            <w:r>
              <w:rPr>
                <w:kern w:val="2"/>
                <w:szCs w:val="24"/>
              </w:rPr>
            </w:r>
          </w:p>
        </w:tc>
      </w:tr>
      <w:tr>
        <w:trPr>
          <w:trHeight w:val="300" w:hRule="atLeast"/>
        </w:trPr>
        <w:tc>
          <w:tcPr>
            <w:tcW w:w="9530" w:type="dxa"/>
            <w:gridSpan w:val="4"/>
            <w:tcBorders>
              <w:top w:val="single" w:sz="4" w:space="0" w:color="000000"/>
              <w:left w:val="single" w:sz="4" w:space="0" w:color="000000"/>
              <w:bottom w:val="single" w:sz="4" w:space="0" w:color="000000"/>
              <w:right w:val="single" w:sz="4" w:space="0" w:color="000000"/>
            </w:tcBorders>
          </w:tcPr>
          <w:p>
            <w:pPr>
              <w:pStyle w:val="Normal"/>
              <w:jc w:val="center"/>
              <w:rPr>
                <w:b/>
                <w:kern w:val="2"/>
                <w:szCs w:val="24"/>
              </w:rPr>
            </w:pPr>
            <w:r>
              <w:rPr>
                <w:b/>
                <w:kern w:val="2"/>
                <w:szCs w:val="24"/>
              </w:rPr>
              <w:t>11. SUTARTIES GALIOJIMAS IR KEITIMAS</w:t>
            </w:r>
          </w:p>
        </w:tc>
      </w:tr>
      <w:tr>
        <w:trPr>
          <w:trHeight w:val="300" w:hRule="atLeast"/>
        </w:trPr>
        <w:tc>
          <w:tcPr>
            <w:tcW w:w="3093" w:type="dxa"/>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szCs w:val="24"/>
              </w:rPr>
              <w:t>11.1. Sutarties sudarymas ir įsigaliojimas</w:t>
            </w:r>
          </w:p>
        </w:tc>
        <w:tc>
          <w:tcPr>
            <w:tcW w:w="6437" w:type="dxa"/>
            <w:gridSpan w:val="3"/>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Ši Sutartis laikoma sudaryta ir įsigalioja nuo Sutarties pasirašymo dienos (antrosios Šalies pasirašymo dieną).</w:t>
            </w:r>
          </w:p>
          <w:p>
            <w:pPr>
              <w:pStyle w:val="Normal"/>
              <w:rPr>
                <w:color w:val="4472C4"/>
                <w:kern w:val="2"/>
                <w:szCs w:val="24"/>
              </w:rPr>
            </w:pPr>
            <w:r>
              <w:rPr>
                <w:color w:val="000000"/>
                <w:kern w:val="2"/>
                <w:szCs w:val="24"/>
              </w:rPr>
              <w:t>Sutartis galioja iki visiško prievolių įvykdymo (kol bus išnaudota Pradinės Sutarties vertė, bet jos terminas negali būti ilgesnis kaip 1</w:t>
            </w:r>
            <w:r>
              <w:rPr>
                <w:color w:val="000000"/>
                <w:kern w:val="2"/>
                <w:szCs w:val="24"/>
              </w:rPr>
              <w:t>3</w:t>
            </w:r>
            <w:r>
              <w:rPr>
                <w:color w:val="000000"/>
                <w:kern w:val="2"/>
                <w:szCs w:val="24"/>
              </w:rPr>
              <w:t xml:space="preserve"> mėn. (atsižvelgus į Paslaugų priėmimo ir apmokėjimo už Paslaugas terminus).</w:t>
            </w:r>
          </w:p>
          <w:p>
            <w:pPr>
              <w:pStyle w:val="Normal"/>
              <w:rPr>
                <w:kern w:val="2"/>
                <w:szCs w:val="24"/>
              </w:rPr>
            </w:pPr>
            <w:r>
              <w:rPr>
                <w:kern w:val="2"/>
                <w:szCs w:val="24"/>
              </w:rPr>
            </w:r>
          </w:p>
          <w:p>
            <w:pPr>
              <w:pStyle w:val="Normal"/>
              <w:rPr>
                <w:color w:val="FF0000"/>
                <w:kern w:val="2"/>
                <w:szCs w:val="24"/>
              </w:rPr>
            </w:pPr>
            <w:r>
              <w:rPr>
                <w:color w:val="FF0000"/>
                <w:kern w:val="2"/>
                <w:szCs w:val="24"/>
              </w:rPr>
            </w:r>
          </w:p>
        </w:tc>
      </w:tr>
      <w:tr>
        <w:trPr>
          <w:trHeight w:val="300" w:hRule="atLeast"/>
        </w:trPr>
        <w:tc>
          <w:tcPr>
            <w:tcW w:w="3093" w:type="dxa"/>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t>11.2. Sutarties galiojimo termino pratęsimas</w:t>
            </w:r>
          </w:p>
        </w:tc>
        <w:tc>
          <w:tcPr>
            <w:tcW w:w="6437" w:type="dxa"/>
            <w:gridSpan w:val="3"/>
            <w:tcBorders>
              <w:top w:val="single" w:sz="4" w:space="0" w:color="000000"/>
              <w:left w:val="single" w:sz="4" w:space="0" w:color="000000"/>
              <w:bottom w:val="single" w:sz="4" w:space="0" w:color="000000"/>
              <w:right w:val="single" w:sz="4" w:space="0" w:color="000000"/>
            </w:tcBorders>
          </w:tcPr>
          <w:p>
            <w:pPr>
              <w:pStyle w:val="Normal"/>
              <w:rPr>
                <w:color w:val="4472C4"/>
                <w:kern w:val="2"/>
                <w:szCs w:val="24"/>
              </w:rPr>
            </w:pPr>
            <w:r>
              <w:rPr>
                <w:kern w:val="2"/>
                <w:szCs w:val="24"/>
              </w:rPr>
              <w:t xml:space="preserve">Šalių abipusiu rašytiniu Susitarimu Sutartis tomis pačiomis sąlygomis </w:t>
            </w:r>
            <w:r>
              <w:rPr>
                <w:color w:val="000000"/>
                <w:szCs w:val="24"/>
              </w:rPr>
              <w:t xml:space="preserve">nedidinant Sutarties kainos </w:t>
            </w:r>
            <w:r>
              <w:rPr>
                <w:color w:val="000000"/>
                <w:kern w:val="2"/>
                <w:szCs w:val="24"/>
              </w:rPr>
              <w:t xml:space="preserve">gali būti pratęsta </w:t>
            </w:r>
            <w:r>
              <w:rPr>
                <w:color w:val="000000"/>
                <w:kern w:val="2"/>
                <w:szCs w:val="24"/>
                <w:shd w:fill="auto" w:val="clear"/>
              </w:rPr>
              <w:t xml:space="preserve">1 (vieną) kartą </w:t>
            </w:r>
            <w:r>
              <w:rPr>
                <w:color w:val="000000"/>
                <w:kern w:val="2"/>
                <w:szCs w:val="24"/>
                <w:shd w:fill="auto" w:val="clear"/>
              </w:rPr>
              <w:t>1</w:t>
            </w:r>
            <w:r>
              <w:rPr>
                <w:color w:val="000000"/>
                <w:kern w:val="2"/>
                <w:szCs w:val="24"/>
                <w:shd w:fill="auto" w:val="clear"/>
              </w:rPr>
              <w:t xml:space="preserve"> (</w:t>
            </w:r>
            <w:r>
              <w:rPr>
                <w:color w:val="000000"/>
                <w:kern w:val="2"/>
                <w:szCs w:val="24"/>
                <w:shd w:fill="auto" w:val="clear"/>
              </w:rPr>
              <w:t>vienam</w:t>
            </w:r>
            <w:r>
              <w:rPr>
                <w:color w:val="000000"/>
                <w:kern w:val="2"/>
                <w:szCs w:val="24"/>
                <w:shd w:fill="auto" w:val="clear"/>
              </w:rPr>
              <w:t>)</w:t>
            </w:r>
            <w:r>
              <w:rPr>
                <w:color w:val="000000"/>
                <w:kern w:val="2"/>
                <w:szCs w:val="24"/>
              </w:rPr>
              <w:t xml:space="preserve"> mėnesi</w:t>
            </w:r>
            <w:r>
              <w:rPr>
                <w:color w:val="000000"/>
                <w:kern w:val="2"/>
                <w:szCs w:val="24"/>
              </w:rPr>
              <w:t>ui</w:t>
            </w:r>
            <w:r>
              <w:rPr>
                <w:color w:val="000000"/>
                <w:kern w:val="2"/>
                <w:szCs w:val="24"/>
              </w:rPr>
              <w:t>, jeigu yra iškilęs poreikis ir esant šiai (šioms) aplinkybėms:</w:t>
            </w:r>
          </w:p>
          <w:p>
            <w:pPr>
              <w:pStyle w:val="Normal"/>
              <w:rPr>
                <w:color w:val="000000"/>
              </w:rPr>
            </w:pPr>
            <w:r>
              <w:rPr>
                <w:rFonts w:eastAsia="Calibri"/>
                <w:color w:val="000000"/>
                <w:szCs w:val="24"/>
              </w:rPr>
              <w:t>11.2.1. Teikėjas Pasaugas suteikė nepraleisdamas Paslaugų teikimo terminų / Paslaugų suteikimo terminas buvo praleistas ne daugiau nei 2 dienas;</w:t>
            </w:r>
          </w:p>
          <w:p>
            <w:pPr>
              <w:pStyle w:val="Normal"/>
              <w:rPr>
                <w:color w:val="000000"/>
              </w:rPr>
            </w:pPr>
            <w:r>
              <w:rPr>
                <w:rFonts w:eastAsia="Calibri"/>
                <w:color w:val="000000"/>
                <w:szCs w:val="24"/>
              </w:rPr>
              <w:t>11.2.2. Paslaugos suteiktos be trūkumų;</w:t>
            </w:r>
          </w:p>
          <w:p>
            <w:pPr>
              <w:pStyle w:val="Normal"/>
              <w:rPr>
                <w:color w:val="000000"/>
              </w:rPr>
            </w:pPr>
            <w:r>
              <w:rPr>
                <w:rFonts w:eastAsia="Calibri"/>
                <w:color w:val="000000"/>
                <w:kern w:val="2"/>
                <w:szCs w:val="24"/>
              </w:rPr>
              <w:t>11.2.3. Tiekėjas visą Sutarties vykdymo laikotarpį laikėsi Tiekėjo pasiūlyme nurodytų įsipareigojimų dėl kokybinių kriterijų;</w:t>
            </w:r>
          </w:p>
          <w:p>
            <w:pPr>
              <w:pStyle w:val="Normal"/>
              <w:rPr>
                <w:color w:val="FF0000"/>
                <w:kern w:val="2"/>
                <w:szCs w:val="24"/>
              </w:rPr>
            </w:pPr>
            <w:r>
              <w:rPr>
                <w:color w:val="FF0000"/>
                <w:kern w:val="2"/>
                <w:szCs w:val="24"/>
              </w:rPr>
            </w:r>
          </w:p>
        </w:tc>
      </w:tr>
      <w:tr>
        <w:trPr>
          <w:trHeight w:val="300" w:hRule="atLeast"/>
        </w:trPr>
        <w:tc>
          <w:tcPr>
            <w:tcW w:w="9530" w:type="dxa"/>
            <w:gridSpan w:val="4"/>
            <w:tcBorders>
              <w:top w:val="single" w:sz="4" w:space="0" w:color="000000"/>
              <w:left w:val="single" w:sz="4" w:space="0" w:color="000000"/>
              <w:bottom w:val="single" w:sz="4" w:space="0" w:color="000000"/>
              <w:right w:val="single" w:sz="4" w:space="0" w:color="000000"/>
            </w:tcBorders>
          </w:tcPr>
          <w:p>
            <w:pPr>
              <w:pStyle w:val="Normal"/>
              <w:jc w:val="center"/>
              <w:rPr>
                <w:b/>
                <w:kern w:val="2"/>
                <w:szCs w:val="24"/>
              </w:rPr>
            </w:pPr>
            <w:r>
              <w:rPr>
                <w:b/>
                <w:kern w:val="2"/>
                <w:szCs w:val="24"/>
              </w:rPr>
              <w:t>12. SUTARTIES NUTRAUKIMAS</w:t>
            </w:r>
          </w:p>
        </w:tc>
      </w:tr>
      <w:tr>
        <w:trPr>
          <w:trHeight w:val="300" w:hRule="atLeast"/>
        </w:trPr>
        <w:tc>
          <w:tcPr>
            <w:tcW w:w="3176" w:type="dxa"/>
            <w:gridSpan w:val="2"/>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t>12.1. Sutarties nutraukimo pagrindai</w:t>
            </w:r>
          </w:p>
        </w:tc>
        <w:tc>
          <w:tcPr>
            <w:tcW w:w="6354" w:type="dxa"/>
            <w:gridSpan w:val="2"/>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Sutartis gali būti nutraukiama rašytiniu Šalių susitarimu arba vienašališkai, Bendrosiose sąlygose nustatyta tvarka.</w:t>
            </w:r>
          </w:p>
          <w:p>
            <w:pPr>
              <w:pStyle w:val="Normal"/>
              <w:rPr>
                <w:color w:val="FF0000"/>
                <w:kern w:val="2"/>
                <w:szCs w:val="24"/>
              </w:rPr>
            </w:pPr>
            <w:r>
              <w:rPr>
                <w:color w:val="FF0000"/>
                <w:kern w:val="2"/>
                <w:szCs w:val="24"/>
              </w:rPr>
            </w:r>
          </w:p>
        </w:tc>
      </w:tr>
      <w:tr>
        <w:trPr>
          <w:trHeight w:val="300" w:hRule="atLeast"/>
        </w:trPr>
        <w:tc>
          <w:tcPr>
            <w:tcW w:w="3176" w:type="dxa"/>
            <w:gridSpan w:val="2"/>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t xml:space="preserve">12.2. Esminiai Sutarties </w:t>
            </w:r>
            <w:r>
              <w:rPr>
                <w:b/>
                <w:szCs w:val="24"/>
              </w:rPr>
              <w:t>pažeidimai</w:t>
            </w:r>
          </w:p>
        </w:tc>
        <w:tc>
          <w:tcPr>
            <w:tcW w:w="6354" w:type="dxa"/>
            <w:gridSpan w:val="2"/>
            <w:tcBorders>
              <w:top w:val="single" w:sz="4" w:space="0" w:color="000000"/>
              <w:left w:val="single" w:sz="4" w:space="0" w:color="000000"/>
              <w:bottom w:val="single" w:sz="4" w:space="0" w:color="000000"/>
              <w:right w:val="single" w:sz="4" w:space="0" w:color="000000"/>
            </w:tcBorders>
          </w:tcPr>
          <w:p>
            <w:pPr>
              <w:pStyle w:val="Normal"/>
              <w:rPr>
                <w:color w:val="000000"/>
              </w:rPr>
            </w:pPr>
            <w:r>
              <w:rPr>
                <w:color w:val="000000"/>
                <w:kern w:val="2"/>
                <w:szCs w:val="24"/>
              </w:rPr>
              <w:t>12.2.1. jeigu Tiekėjas nevykdo prisiimtų įsipareigojimų už Sutartyje nustatytą Sutarties kainą;</w:t>
            </w:r>
          </w:p>
          <w:p>
            <w:pPr>
              <w:pStyle w:val="Normal"/>
              <w:rPr>
                <w:color w:val="000000"/>
              </w:rPr>
            </w:pPr>
            <w:r>
              <w:rPr>
                <w:color w:val="000000"/>
                <w:szCs w:val="24"/>
              </w:rPr>
              <w:t xml:space="preserve">12.2.2. jeigu Tiekėjas nepateikia Sutarties įvykdymo užtikrinimo pratęsimo ilgiau kaip </w:t>
            </w:r>
            <w:r>
              <w:rPr>
                <w:color w:val="000000"/>
                <w:szCs w:val="24"/>
              </w:rPr>
              <w:t>1</w:t>
            </w:r>
            <w:r>
              <w:rPr>
                <w:color w:val="000000"/>
                <w:szCs w:val="24"/>
              </w:rPr>
              <w:t>0 (dešimt) dienų nuo galiojančio Sutarties įvykdymo užtikrinimo termino pabaigos Bendrosiose sąlygose nustatyta tvarka (išskyrus pirminį Sutarties įvykdymo užtikrinimą);</w:t>
            </w:r>
          </w:p>
          <w:p>
            <w:pPr>
              <w:pStyle w:val="Normal"/>
              <w:rPr>
                <w:color w:val="000000"/>
              </w:rPr>
            </w:pPr>
            <w:r>
              <w:rPr>
                <w:color w:val="000000"/>
                <w:kern w:val="2"/>
                <w:szCs w:val="24"/>
              </w:rPr>
              <w:t>12.2.3.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5 darbo dienas neištaiso pažeidimų;</w:t>
            </w:r>
          </w:p>
          <w:p>
            <w:pPr>
              <w:pStyle w:val="Normal"/>
              <w:spacing w:lineRule="auto" w:line="252"/>
              <w:jc w:val="both"/>
              <w:rPr>
                <w:color w:val="000000"/>
              </w:rPr>
            </w:pPr>
            <w:r>
              <w:rPr>
                <w:rFonts w:eastAsia="Arial"/>
                <w:color w:val="000000"/>
                <w:kern w:val="2"/>
                <w:szCs w:val="24"/>
                <w:lang w:val="lt-LT"/>
              </w:rPr>
              <w:t>12.2.4. jeigu Tiekėjas nesilaiko Sutartyje nustatytų Paslaugų teikimo terminų 2 (du) kartus iš eilės arba vėluoja suteikti Paslaugas daugiau nei 10 darbo dienų nuo Sutartyje nustatyto Paslaugų suteikimo termino;</w:t>
            </w:r>
          </w:p>
          <w:p>
            <w:pPr>
              <w:pStyle w:val="Normal"/>
              <w:tabs>
                <w:tab w:val="clear" w:pos="1296"/>
                <w:tab w:val="left" w:pos="567" w:leader="none"/>
                <w:tab w:val="left" w:pos="851" w:leader="none"/>
                <w:tab w:val="left" w:pos="992" w:leader="none"/>
                <w:tab w:val="left" w:pos="1134" w:leader="none"/>
              </w:tabs>
              <w:spacing w:lineRule="auto" w:line="252"/>
              <w:jc w:val="both"/>
              <w:rPr>
                <w:color w:val="000000"/>
              </w:rPr>
            </w:pPr>
            <w:r>
              <w:rPr>
                <w:rFonts w:eastAsia="Arial"/>
                <w:color w:val="000000"/>
                <w:kern w:val="2"/>
                <w:szCs w:val="24"/>
                <w:lang w:val="lt-LT"/>
              </w:rPr>
              <w:t>12.2.5. jeigu Tiekėjas pažeidžia Paslaugų suteikimo terminus ir priskaičiuotų netesybų už vėlavimą suma viršija 20 (dvidešimt) proc. Pradinės sutarties vertės;</w:t>
            </w:r>
          </w:p>
          <w:p>
            <w:pPr>
              <w:pStyle w:val="Normal"/>
              <w:tabs>
                <w:tab w:val="clear" w:pos="1296"/>
                <w:tab w:val="left" w:pos="567" w:leader="none"/>
                <w:tab w:val="left" w:pos="851" w:leader="none"/>
                <w:tab w:val="left" w:pos="992" w:leader="none"/>
                <w:tab w:val="left" w:pos="1134" w:leader="none"/>
              </w:tabs>
              <w:spacing w:lineRule="auto" w:line="252"/>
              <w:jc w:val="both"/>
              <w:rPr>
                <w:color w:val="000000"/>
              </w:rPr>
            </w:pPr>
            <w:r>
              <w:rPr>
                <w:rFonts w:eastAsia="Arial"/>
                <w:color w:val="000000"/>
                <w:kern w:val="2"/>
                <w:szCs w:val="24"/>
                <w:lang w:val="lt-LT"/>
              </w:rPr>
              <w:t>12.2.6. Tiekėjas pažeidžia Paslaugų suteikimo terminus ir dėl Paslaugų suteikimo vėlavimo Paslaugos tampa nebereikalingos;</w:t>
            </w:r>
          </w:p>
          <w:p>
            <w:pPr>
              <w:pStyle w:val="Normal"/>
              <w:tabs>
                <w:tab w:val="clear" w:pos="1296"/>
                <w:tab w:val="left" w:pos="567" w:leader="none"/>
                <w:tab w:val="left" w:pos="851" w:leader="none"/>
                <w:tab w:val="left" w:pos="992" w:leader="none"/>
                <w:tab w:val="left" w:pos="1134" w:leader="none"/>
              </w:tabs>
              <w:spacing w:lineRule="auto" w:line="252"/>
              <w:jc w:val="both"/>
              <w:rPr>
                <w:color w:val="000000"/>
              </w:rPr>
            </w:pPr>
            <w:r>
              <w:rPr>
                <w:rFonts w:eastAsia="Arial"/>
                <w:color w:val="000000"/>
                <w:kern w:val="2"/>
                <w:szCs w:val="24"/>
                <w:lang w:val="lt-LT"/>
              </w:rPr>
              <w:t>12.2.7. Tiekėjas daugiau kaip 2 (du) kartus suteikia Paslaugas, kurios neatitinka Sutartyje ir (ar) įstatymuose nustatytų reikalavimų Paslaugoms;</w:t>
            </w:r>
          </w:p>
          <w:p>
            <w:pPr>
              <w:pStyle w:val="Normal"/>
              <w:tabs>
                <w:tab w:val="clear" w:pos="1296"/>
                <w:tab w:val="left" w:pos="567" w:leader="none"/>
                <w:tab w:val="left" w:pos="851" w:leader="none"/>
                <w:tab w:val="left" w:pos="992" w:leader="none"/>
                <w:tab w:val="left" w:pos="1134" w:leader="none"/>
              </w:tabs>
              <w:spacing w:lineRule="auto" w:line="252"/>
              <w:jc w:val="both"/>
              <w:rPr>
                <w:color w:val="000000"/>
              </w:rPr>
            </w:pPr>
            <w:r>
              <w:rPr>
                <w:rFonts w:eastAsia="Arial"/>
                <w:color w:val="000000"/>
                <w:kern w:val="2"/>
                <w:szCs w:val="24"/>
                <w:lang w:val="lt-LT"/>
              </w:rPr>
              <w:t>12.2.8. Tiekėjo kvalifikacija tapo nebeatitinkančia pirkimo dokumentuose nustatytų Sutarties tinkamam vykdymui būtinų reikalavimų ir šie neatitikimai nebuvo ištaisyti per 14 (keturiolika) kalendorinių dienų nuo kvalifikacijos tapimo neatitinkančia dienos;</w:t>
            </w:r>
          </w:p>
          <w:p>
            <w:pPr>
              <w:pStyle w:val="Normal"/>
              <w:spacing w:lineRule="auto" w:line="252"/>
              <w:rPr>
                <w:color w:val="000000"/>
              </w:rPr>
            </w:pPr>
            <w:r>
              <w:rPr>
                <w:rFonts w:eastAsia="Arial"/>
                <w:color w:val="000000"/>
                <w:kern w:val="2"/>
                <w:szCs w:val="24"/>
                <w:lang w:val="lt-LT"/>
              </w:rPr>
              <w:t>12.2.9. Tiekėjas pažeidžia Bendrųjų sąlygų nuostatas dėl Sutarties vykdymui pasitelkiamų naujų subtiekėjų ir (ar) specialistų / esamų subtiekėjų ir (ar) specialistų keitimo;</w:t>
            </w:r>
          </w:p>
          <w:p>
            <w:pPr>
              <w:pStyle w:val="Normal"/>
              <w:spacing w:lineRule="auto" w:line="252"/>
              <w:rPr>
                <w:color w:val="000000"/>
              </w:rPr>
            </w:pPr>
            <w:r>
              <w:rPr>
                <w:rFonts w:eastAsia="Arial"/>
                <w:color w:val="000000"/>
                <w:kern w:val="2"/>
                <w:szCs w:val="24"/>
                <w:lang w:val="lt-LT"/>
              </w:rPr>
              <w:t>12.2.10. Tiekėjas 2 (du) kartus pažeidžia esminę Sutarties sąlygą.</w:t>
            </w:r>
          </w:p>
        </w:tc>
      </w:tr>
      <w:tr>
        <w:trPr>
          <w:trHeight w:val="300" w:hRule="atLeast"/>
        </w:trPr>
        <w:tc>
          <w:tcPr>
            <w:tcW w:w="9530" w:type="dxa"/>
            <w:gridSpan w:val="4"/>
            <w:tcBorders>
              <w:top w:val="single" w:sz="4" w:space="0" w:color="000000"/>
              <w:left w:val="single" w:sz="4" w:space="0" w:color="000000"/>
              <w:bottom w:val="single" w:sz="4" w:space="0" w:color="000000"/>
              <w:right w:val="single" w:sz="4" w:space="0" w:color="000000"/>
            </w:tcBorders>
          </w:tcPr>
          <w:p>
            <w:pPr>
              <w:pStyle w:val="Normal"/>
              <w:jc w:val="center"/>
              <w:rPr>
                <w:kern w:val="2"/>
                <w:szCs w:val="24"/>
              </w:rPr>
            </w:pPr>
            <w:r>
              <w:rPr>
                <w:b/>
                <w:kern w:val="2"/>
                <w:szCs w:val="24"/>
              </w:rPr>
              <w:t>13. APLINKOS APSAUGOS IR SOCIALINIAI KRITERIJAI</w:t>
            </w:r>
          </w:p>
        </w:tc>
      </w:tr>
      <w:tr>
        <w:trPr>
          <w:trHeight w:val="300" w:hRule="atLeast"/>
        </w:trPr>
        <w:tc>
          <w:tcPr>
            <w:tcW w:w="3176" w:type="dxa"/>
            <w:gridSpan w:val="2"/>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t>13.1. Su perkamomis paslaugomis susiję  aplinkos apsaugos kriterijai</w:t>
            </w:r>
          </w:p>
        </w:tc>
        <w:tc>
          <w:tcPr>
            <w:tcW w:w="6354" w:type="dxa"/>
            <w:gridSpan w:val="2"/>
            <w:tcBorders>
              <w:top w:val="single" w:sz="4" w:space="0" w:color="000000"/>
              <w:left w:val="single" w:sz="4" w:space="0" w:color="000000"/>
              <w:bottom w:val="single" w:sz="4" w:space="0" w:color="000000"/>
              <w:right w:val="single" w:sz="4" w:space="0" w:color="000000"/>
            </w:tcBorders>
          </w:tcPr>
          <w:p>
            <w:pPr>
              <w:pStyle w:val="Normal"/>
              <w:rPr>
                <w:color w:val="000000"/>
                <w:kern w:val="2"/>
                <w:szCs w:val="24"/>
                <w:shd w:fill="FFFFFF" w:val="clear"/>
              </w:rPr>
            </w:pPr>
            <w:r>
              <w:rPr>
                <w:color w:val="000000"/>
                <w:kern w:val="2"/>
                <w:szCs w:val="24"/>
                <w:shd w:fill="FFFFFF" w:val="clear"/>
              </w:rPr>
              <w:t>Netaikoma</w:t>
            </w:r>
          </w:p>
          <w:p>
            <w:pPr>
              <w:pStyle w:val="Normal"/>
              <w:rPr>
                <w:color w:val="000000"/>
                <w:kern w:val="2"/>
                <w:szCs w:val="24"/>
                <w:shd w:fill="FFFFFF" w:val="clear"/>
              </w:rPr>
            </w:pPr>
            <w:r>
              <w:rPr>
                <w:color w:val="000000"/>
                <w:kern w:val="2"/>
                <w:szCs w:val="24"/>
                <w:shd w:fill="FFFFFF" w:val="clear"/>
              </w:rPr>
            </w:r>
          </w:p>
          <w:p>
            <w:pPr>
              <w:pStyle w:val="Normal"/>
              <w:rPr>
                <w:color w:val="FF0000"/>
                <w:kern w:val="2"/>
                <w:szCs w:val="24"/>
                <w:shd w:fill="FFFFFF" w:val="clear"/>
              </w:rPr>
            </w:pPr>
            <w:r>
              <w:rPr>
                <w:color w:val="FF0000"/>
                <w:kern w:val="2"/>
                <w:szCs w:val="24"/>
                <w:shd w:fill="FFFFFF" w:val="clear"/>
              </w:rPr>
            </w:r>
          </w:p>
          <w:p>
            <w:pPr>
              <w:pStyle w:val="Normal"/>
              <w:rPr>
                <w:kern w:val="2"/>
                <w:szCs w:val="24"/>
              </w:rPr>
            </w:pPr>
            <w:r>
              <w:rPr>
                <w:kern w:val="2"/>
                <w:szCs w:val="24"/>
              </w:rPr>
            </w:r>
          </w:p>
        </w:tc>
      </w:tr>
      <w:tr>
        <w:trPr>
          <w:trHeight w:val="300" w:hRule="atLeast"/>
        </w:trPr>
        <w:tc>
          <w:tcPr>
            <w:tcW w:w="3176" w:type="dxa"/>
            <w:gridSpan w:val="2"/>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t>13.2. Su perkamomis Paslaugomis susiję socialiniai kriterijai</w:t>
            </w:r>
          </w:p>
        </w:tc>
        <w:tc>
          <w:tcPr>
            <w:tcW w:w="6354" w:type="dxa"/>
            <w:gridSpan w:val="2"/>
            <w:tcBorders>
              <w:top w:val="single" w:sz="4" w:space="0" w:color="000000"/>
              <w:left w:val="single" w:sz="4" w:space="0" w:color="000000"/>
              <w:bottom w:val="single" w:sz="4" w:space="0" w:color="000000"/>
              <w:right w:val="single" w:sz="4" w:space="0" w:color="000000"/>
            </w:tcBorders>
          </w:tcPr>
          <w:p>
            <w:pPr>
              <w:pStyle w:val="Normal"/>
              <w:rPr>
                <w:color w:val="000000"/>
                <w:kern w:val="2"/>
                <w:szCs w:val="24"/>
                <w:shd w:fill="FFFFFF" w:val="clear"/>
              </w:rPr>
            </w:pPr>
            <w:r>
              <w:rPr>
                <w:color w:val="000000"/>
                <w:kern w:val="2"/>
                <w:szCs w:val="24"/>
                <w:shd w:fill="FFFFFF" w:val="clear"/>
              </w:rPr>
              <w:t>Netaikoma</w:t>
            </w:r>
          </w:p>
          <w:p>
            <w:pPr>
              <w:pStyle w:val="Normal"/>
              <w:rPr>
                <w:color w:val="000000"/>
                <w:kern w:val="2"/>
                <w:szCs w:val="24"/>
                <w:shd w:fill="FFFFFF" w:val="clear"/>
              </w:rPr>
            </w:pPr>
            <w:r>
              <w:rPr>
                <w:color w:val="000000"/>
                <w:kern w:val="2"/>
                <w:szCs w:val="24"/>
                <w:shd w:fill="FFFFFF" w:val="clear"/>
              </w:rPr>
            </w:r>
          </w:p>
          <w:p>
            <w:pPr>
              <w:pStyle w:val="Normal"/>
              <w:rPr>
                <w:color w:val="FF0000"/>
                <w:kern w:val="2"/>
                <w:szCs w:val="24"/>
                <w:shd w:fill="FFFFFF" w:val="clear"/>
              </w:rPr>
            </w:pPr>
            <w:r>
              <w:rPr>
                <w:color w:val="FF0000"/>
                <w:kern w:val="2"/>
                <w:szCs w:val="24"/>
                <w:shd w:fill="FFFFFF" w:val="clear"/>
              </w:rPr>
            </w:r>
          </w:p>
        </w:tc>
      </w:tr>
      <w:tr>
        <w:trPr>
          <w:trHeight w:val="300" w:hRule="atLeast"/>
        </w:trPr>
        <w:tc>
          <w:tcPr>
            <w:tcW w:w="9530" w:type="dxa"/>
            <w:gridSpan w:val="4"/>
            <w:tcBorders>
              <w:top w:val="single" w:sz="4" w:space="0" w:color="000000"/>
              <w:left w:val="single" w:sz="4" w:space="0" w:color="000000"/>
              <w:bottom w:val="single" w:sz="4" w:space="0" w:color="000000"/>
              <w:right w:val="single" w:sz="4" w:space="0" w:color="000000"/>
            </w:tcBorders>
          </w:tcPr>
          <w:p>
            <w:pPr>
              <w:pStyle w:val="Normal"/>
              <w:jc w:val="center"/>
              <w:rPr>
                <w:b/>
                <w:kern w:val="2"/>
                <w:szCs w:val="24"/>
              </w:rPr>
            </w:pPr>
            <w:r>
              <w:rPr>
                <w:b/>
                <w:kern w:val="2"/>
                <w:szCs w:val="24"/>
              </w:rPr>
              <w:t>14. BENDRŲJŲ SĄLYGŲ PAKEITIMAI IR PAPILDYMAI</w:t>
            </w:r>
          </w:p>
          <w:p>
            <w:pPr>
              <w:pStyle w:val="Normal"/>
              <w:jc w:val="center"/>
              <w:rPr>
                <w:kern w:val="2"/>
                <w:szCs w:val="24"/>
              </w:rPr>
            </w:pPr>
            <w:r>
              <w:rPr>
                <w:kern w:val="2"/>
                <w:szCs w:val="24"/>
              </w:rPr>
            </w:r>
          </w:p>
        </w:tc>
      </w:tr>
      <w:tr>
        <w:trPr>
          <w:trHeight w:val="300" w:hRule="atLeast"/>
        </w:trPr>
        <w:tc>
          <w:tcPr>
            <w:tcW w:w="3176" w:type="dxa"/>
            <w:gridSpan w:val="2"/>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t>14.1.</w:t>
            </w:r>
          </w:p>
        </w:tc>
        <w:tc>
          <w:tcPr>
            <w:tcW w:w="6354" w:type="dxa"/>
            <w:gridSpan w:val="2"/>
            <w:tcBorders>
              <w:top w:val="single" w:sz="4" w:space="0" w:color="000000"/>
              <w:left w:val="single" w:sz="4" w:space="0" w:color="000000"/>
              <w:bottom w:val="single" w:sz="4" w:space="0" w:color="000000"/>
              <w:right w:val="single" w:sz="4" w:space="0" w:color="000000"/>
            </w:tcBorders>
          </w:tcPr>
          <w:p>
            <w:pPr>
              <w:pStyle w:val="Normal"/>
              <w:rPr>
                <w:color w:val="4472C4"/>
                <w:kern w:val="2"/>
                <w:szCs w:val="24"/>
              </w:rPr>
            </w:pPr>
            <w:r>
              <w:rPr>
                <w:color w:val="4472C4"/>
                <w:kern w:val="2"/>
                <w:szCs w:val="24"/>
              </w:rPr>
            </w:r>
          </w:p>
        </w:tc>
      </w:tr>
      <w:tr>
        <w:trPr>
          <w:trHeight w:val="300" w:hRule="atLeast"/>
        </w:trPr>
        <w:tc>
          <w:tcPr>
            <w:tcW w:w="3176" w:type="dxa"/>
            <w:gridSpan w:val="2"/>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t>14.2.</w:t>
            </w:r>
          </w:p>
        </w:tc>
        <w:tc>
          <w:tcPr>
            <w:tcW w:w="6354" w:type="dxa"/>
            <w:gridSpan w:val="2"/>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_______.</w:t>
            </w:r>
          </w:p>
        </w:tc>
      </w:tr>
      <w:tr>
        <w:trPr>
          <w:trHeight w:val="300" w:hRule="atLeast"/>
        </w:trPr>
        <w:tc>
          <w:tcPr>
            <w:tcW w:w="3176" w:type="dxa"/>
            <w:gridSpan w:val="2"/>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t>14.3.</w:t>
            </w:r>
          </w:p>
        </w:tc>
        <w:tc>
          <w:tcPr>
            <w:tcW w:w="6354" w:type="dxa"/>
            <w:gridSpan w:val="2"/>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__.</w:t>
            </w:r>
          </w:p>
        </w:tc>
      </w:tr>
      <w:tr>
        <w:trPr>
          <w:trHeight w:val="300" w:hRule="atLeast"/>
        </w:trPr>
        <w:tc>
          <w:tcPr>
            <w:tcW w:w="3176" w:type="dxa"/>
            <w:gridSpan w:val="2"/>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t>14.4.</w:t>
            </w:r>
          </w:p>
        </w:tc>
        <w:tc>
          <w:tcPr>
            <w:tcW w:w="6354" w:type="dxa"/>
            <w:gridSpan w:val="2"/>
            <w:tcBorders>
              <w:top w:val="single" w:sz="4" w:space="0" w:color="000000"/>
              <w:left w:val="single" w:sz="4" w:space="0" w:color="000000"/>
              <w:bottom w:val="single" w:sz="4" w:space="0" w:color="000000"/>
              <w:right w:val="single" w:sz="4" w:space="0" w:color="000000"/>
            </w:tcBorders>
          </w:tcPr>
          <w:p>
            <w:pPr>
              <w:pStyle w:val="Normal"/>
              <w:rPr>
                <w:color w:val="0070C0"/>
                <w:kern w:val="2"/>
                <w:szCs w:val="24"/>
              </w:rPr>
            </w:pPr>
            <w:r>
              <w:rPr>
                <w:color w:val="0070C0"/>
                <w:kern w:val="2"/>
                <w:szCs w:val="24"/>
              </w:rPr>
            </w:r>
          </w:p>
        </w:tc>
      </w:tr>
      <w:tr>
        <w:trPr>
          <w:trHeight w:val="300" w:hRule="atLeast"/>
        </w:trPr>
        <w:tc>
          <w:tcPr>
            <w:tcW w:w="3176" w:type="dxa"/>
            <w:gridSpan w:val="2"/>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t>14.5.</w:t>
            </w:r>
          </w:p>
        </w:tc>
        <w:tc>
          <w:tcPr>
            <w:tcW w:w="6354" w:type="dxa"/>
            <w:gridSpan w:val="2"/>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trPr>
          <w:trHeight w:val="300" w:hRule="atLeast"/>
        </w:trPr>
        <w:tc>
          <w:tcPr>
            <w:tcW w:w="9530" w:type="dxa"/>
            <w:gridSpan w:val="4"/>
            <w:tcBorders>
              <w:top w:val="single" w:sz="4" w:space="0" w:color="000000"/>
              <w:left w:val="single" w:sz="4" w:space="0" w:color="000000"/>
              <w:bottom w:val="single" w:sz="4" w:space="0" w:color="000000"/>
              <w:right w:val="single" w:sz="4" w:space="0" w:color="000000"/>
            </w:tcBorders>
          </w:tcPr>
          <w:p>
            <w:pPr>
              <w:pStyle w:val="Normal"/>
              <w:jc w:val="center"/>
              <w:rPr>
                <w:b/>
                <w:kern w:val="2"/>
                <w:szCs w:val="24"/>
              </w:rPr>
            </w:pPr>
            <w:r>
              <w:rPr>
                <w:b/>
                <w:kern w:val="2"/>
                <w:szCs w:val="24"/>
              </w:rPr>
              <w:t>15. SUTARTIES PRIEDAI</w:t>
            </w:r>
          </w:p>
        </w:tc>
      </w:tr>
      <w:tr>
        <w:trPr>
          <w:trHeight w:val="300" w:hRule="atLeast"/>
        </w:trPr>
        <w:tc>
          <w:tcPr>
            <w:tcW w:w="3176" w:type="dxa"/>
            <w:gridSpan w:val="2"/>
            <w:tcBorders>
              <w:top w:val="single" w:sz="4" w:space="0" w:color="000000"/>
              <w:left w:val="single" w:sz="4" w:space="0" w:color="000000"/>
              <w:bottom w:val="single" w:sz="4" w:space="0" w:color="000000"/>
              <w:right w:val="single" w:sz="4" w:space="0" w:color="000000"/>
            </w:tcBorders>
          </w:tcPr>
          <w:p>
            <w:pPr>
              <w:pStyle w:val="Normal"/>
              <w:jc w:val="center"/>
              <w:rPr>
                <w:b/>
                <w:kern w:val="2"/>
                <w:szCs w:val="24"/>
              </w:rPr>
            </w:pPr>
            <w:r>
              <w:rPr>
                <w:b/>
                <w:kern w:val="2"/>
                <w:szCs w:val="24"/>
              </w:rPr>
              <w:t>15.1. Priedas Nr. 1</w:t>
            </w:r>
          </w:p>
        </w:tc>
        <w:tc>
          <w:tcPr>
            <w:tcW w:w="6354" w:type="dxa"/>
            <w:gridSpan w:val="2"/>
            <w:tcBorders>
              <w:top w:val="single" w:sz="4" w:space="0" w:color="000000"/>
              <w:left w:val="single" w:sz="4" w:space="0" w:color="000000"/>
              <w:bottom w:val="single" w:sz="4" w:space="0" w:color="000000"/>
              <w:right w:val="single" w:sz="4" w:space="0" w:color="000000"/>
            </w:tcBorders>
          </w:tcPr>
          <w:p>
            <w:pPr>
              <w:pStyle w:val="Normal"/>
              <w:jc w:val="left"/>
              <w:rPr>
                <w:b/>
                <w:kern w:val="2"/>
                <w:szCs w:val="24"/>
              </w:rPr>
            </w:pPr>
            <w:r>
              <w:rPr>
                <w:b/>
                <w:kern w:val="2"/>
                <w:szCs w:val="24"/>
              </w:rPr>
              <w:t>Projektavimo užduotis</w:t>
            </w:r>
          </w:p>
        </w:tc>
      </w:tr>
      <w:tr>
        <w:trPr>
          <w:trHeight w:val="300" w:hRule="atLeast"/>
        </w:trPr>
        <w:tc>
          <w:tcPr>
            <w:tcW w:w="3176" w:type="dxa"/>
            <w:gridSpan w:val="2"/>
            <w:tcBorders>
              <w:top w:val="single" w:sz="4" w:space="0" w:color="000000"/>
              <w:left w:val="single" w:sz="4" w:space="0" w:color="000000"/>
              <w:bottom w:val="single" w:sz="4" w:space="0" w:color="000000"/>
              <w:right w:val="single" w:sz="4" w:space="0" w:color="000000"/>
            </w:tcBorders>
          </w:tcPr>
          <w:p>
            <w:pPr>
              <w:pStyle w:val="Normal"/>
              <w:jc w:val="center"/>
              <w:rPr>
                <w:b/>
                <w:kern w:val="2"/>
                <w:szCs w:val="24"/>
              </w:rPr>
            </w:pPr>
            <w:r>
              <w:rPr>
                <w:b/>
                <w:kern w:val="2"/>
                <w:szCs w:val="24"/>
              </w:rPr>
              <w:t>15.2. Priedas Nr. 2</w:t>
            </w:r>
          </w:p>
        </w:tc>
        <w:tc>
          <w:tcPr>
            <w:tcW w:w="6354" w:type="dxa"/>
            <w:gridSpan w:val="2"/>
            <w:tcBorders>
              <w:top w:val="single" w:sz="4" w:space="0" w:color="000000"/>
              <w:left w:val="single" w:sz="4" w:space="0" w:color="000000"/>
              <w:bottom w:val="single" w:sz="4" w:space="0" w:color="000000"/>
              <w:right w:val="single" w:sz="4" w:space="0" w:color="000000"/>
            </w:tcBorders>
          </w:tcPr>
          <w:p>
            <w:pPr>
              <w:pStyle w:val="Normal"/>
              <w:jc w:val="left"/>
              <w:rPr>
                <w:b/>
                <w:kern w:val="2"/>
                <w:szCs w:val="24"/>
              </w:rPr>
            </w:pPr>
            <w:r>
              <w:rPr>
                <w:b/>
                <w:kern w:val="2"/>
                <w:szCs w:val="24"/>
              </w:rPr>
              <w:t>Pasiūlymas</w:t>
            </w:r>
          </w:p>
        </w:tc>
      </w:tr>
      <w:tr>
        <w:trPr>
          <w:trHeight w:val="300" w:hRule="atLeast"/>
        </w:trPr>
        <w:tc>
          <w:tcPr>
            <w:tcW w:w="3176" w:type="dxa"/>
            <w:gridSpan w:val="2"/>
            <w:tcBorders>
              <w:top w:val="single" w:sz="4" w:space="0" w:color="000000"/>
              <w:left w:val="single" w:sz="4" w:space="0" w:color="000000"/>
              <w:bottom w:val="single" w:sz="4" w:space="0" w:color="000000"/>
              <w:right w:val="single" w:sz="4" w:space="0" w:color="000000"/>
            </w:tcBorders>
          </w:tcPr>
          <w:p>
            <w:pPr>
              <w:pStyle w:val="Normal"/>
              <w:jc w:val="center"/>
              <w:rPr>
                <w:b/>
                <w:kern w:val="2"/>
                <w:szCs w:val="24"/>
              </w:rPr>
            </w:pPr>
            <w:r>
              <w:rPr>
                <w:b/>
                <w:kern w:val="2"/>
                <w:szCs w:val="24"/>
              </w:rPr>
              <w:t>15.3. Priedas Nr. 3</w:t>
            </w:r>
          </w:p>
        </w:tc>
        <w:tc>
          <w:tcPr>
            <w:tcW w:w="6354" w:type="dxa"/>
            <w:gridSpan w:val="2"/>
            <w:tcBorders>
              <w:top w:val="single" w:sz="4" w:space="0" w:color="000000"/>
              <w:left w:val="single" w:sz="4" w:space="0" w:color="000000"/>
              <w:bottom w:val="single" w:sz="4" w:space="0" w:color="000000"/>
              <w:right w:val="single" w:sz="4" w:space="0" w:color="000000"/>
            </w:tcBorders>
          </w:tcPr>
          <w:p>
            <w:pPr>
              <w:pStyle w:val="Normal"/>
              <w:jc w:val="left"/>
              <w:rPr>
                <w:b/>
                <w:kern w:val="2"/>
                <w:szCs w:val="24"/>
              </w:rPr>
            </w:pPr>
            <w:r>
              <w:rPr>
                <w:b/>
                <w:kern w:val="2"/>
                <w:szCs w:val="24"/>
              </w:rPr>
              <w:t>Siūlomų specialistų sąrašas</w:t>
            </w:r>
          </w:p>
        </w:tc>
      </w:tr>
      <w:tr>
        <w:trPr>
          <w:trHeight w:val="300" w:hRule="atLeast"/>
        </w:trPr>
        <w:tc>
          <w:tcPr>
            <w:tcW w:w="3176" w:type="dxa"/>
            <w:gridSpan w:val="2"/>
            <w:tcBorders>
              <w:top w:val="single" w:sz="4" w:space="0" w:color="000000"/>
              <w:left w:val="single" w:sz="4" w:space="0" w:color="000000"/>
              <w:bottom w:val="single" w:sz="4" w:space="0" w:color="000000"/>
              <w:right w:val="single" w:sz="4" w:space="0" w:color="000000"/>
            </w:tcBorders>
          </w:tcPr>
          <w:p>
            <w:pPr>
              <w:pStyle w:val="Normal"/>
              <w:jc w:val="center"/>
              <w:rPr>
                <w:b/>
                <w:kern w:val="2"/>
                <w:szCs w:val="24"/>
              </w:rPr>
            </w:pPr>
            <w:r>
              <w:rPr>
                <w:b/>
                <w:kern w:val="2"/>
                <w:szCs w:val="24"/>
              </w:rPr>
              <w:t>15.4. Priedas Nr. 4</w:t>
            </w:r>
          </w:p>
        </w:tc>
        <w:tc>
          <w:tcPr>
            <w:tcW w:w="6354" w:type="dxa"/>
            <w:gridSpan w:val="2"/>
            <w:tcBorders>
              <w:top w:val="single" w:sz="4" w:space="0" w:color="000000"/>
              <w:left w:val="single" w:sz="4" w:space="0" w:color="000000"/>
              <w:bottom w:val="single" w:sz="4" w:space="0" w:color="000000"/>
              <w:right w:val="single" w:sz="4" w:space="0" w:color="000000"/>
            </w:tcBorders>
          </w:tcPr>
          <w:p>
            <w:pPr>
              <w:pStyle w:val="Normal"/>
              <w:jc w:val="left"/>
              <w:rPr>
                <w:b/>
                <w:kern w:val="2"/>
                <w:szCs w:val="24"/>
              </w:rPr>
            </w:pPr>
            <w:r>
              <w:rPr>
                <w:b/>
                <w:kern w:val="2"/>
                <w:szCs w:val="24"/>
              </w:rPr>
              <w:t>Subtiekėjų sąrašas</w:t>
            </w:r>
          </w:p>
        </w:tc>
      </w:tr>
      <w:tr>
        <w:trPr>
          <w:trHeight w:val="300" w:hRule="atLeast"/>
        </w:trPr>
        <w:tc>
          <w:tcPr>
            <w:tcW w:w="3176" w:type="dxa"/>
            <w:gridSpan w:val="2"/>
            <w:tcBorders>
              <w:top w:val="single" w:sz="4" w:space="0" w:color="000000"/>
              <w:left w:val="single" w:sz="4" w:space="0" w:color="000000"/>
              <w:bottom w:val="single" w:sz="4" w:space="0" w:color="000000"/>
              <w:right w:val="single" w:sz="4" w:space="0" w:color="000000"/>
            </w:tcBorders>
          </w:tcPr>
          <w:p>
            <w:pPr>
              <w:pStyle w:val="Normal"/>
              <w:jc w:val="center"/>
              <w:rPr>
                <w:b/>
                <w:kern w:val="2"/>
                <w:szCs w:val="24"/>
              </w:rPr>
            </w:pPr>
            <w:r>
              <w:rPr>
                <w:b/>
                <w:kern w:val="2"/>
                <w:szCs w:val="24"/>
              </w:rPr>
              <w:t>15.5. Priedas Nr. 5</w:t>
            </w:r>
          </w:p>
        </w:tc>
        <w:tc>
          <w:tcPr>
            <w:tcW w:w="6354" w:type="dxa"/>
            <w:gridSpan w:val="2"/>
            <w:tcBorders>
              <w:top w:val="single" w:sz="4" w:space="0" w:color="000000"/>
              <w:left w:val="single" w:sz="4" w:space="0" w:color="000000"/>
              <w:bottom w:val="single" w:sz="4" w:space="0" w:color="000000"/>
              <w:right w:val="single" w:sz="4" w:space="0" w:color="000000"/>
            </w:tcBorders>
          </w:tcPr>
          <w:p>
            <w:pPr>
              <w:pStyle w:val="Normal"/>
              <w:jc w:val="center"/>
              <w:rPr>
                <w:b/>
                <w:kern w:val="2"/>
                <w:szCs w:val="24"/>
              </w:rPr>
            </w:pPr>
            <w:r>
              <w:rPr>
                <w:b/>
                <w:kern w:val="2"/>
                <w:szCs w:val="24"/>
              </w:rPr>
            </w:r>
          </w:p>
        </w:tc>
      </w:tr>
      <w:tr>
        <w:trPr/>
        <w:tc>
          <w:tcPr>
            <w:tcW w:w="9530" w:type="dxa"/>
            <w:gridSpan w:val="4"/>
            <w:tcBorders>
              <w:top w:val="single" w:sz="4" w:space="0" w:color="000000"/>
              <w:left w:val="single" w:sz="4" w:space="0" w:color="000000"/>
              <w:bottom w:val="single" w:sz="4" w:space="0" w:color="000000"/>
              <w:right w:val="single" w:sz="4" w:space="0" w:color="000000"/>
            </w:tcBorders>
          </w:tcPr>
          <w:p>
            <w:pPr>
              <w:pStyle w:val="Normal"/>
              <w:jc w:val="center"/>
              <w:rPr>
                <w:b/>
                <w:kern w:val="2"/>
                <w:szCs w:val="24"/>
              </w:rPr>
            </w:pPr>
            <w:r>
              <w:rPr>
                <w:b/>
                <w:kern w:val="2"/>
                <w:szCs w:val="24"/>
              </w:rPr>
              <w:t>16. ŠALIŲ ATSTOVŲ PARAŠAI</w:t>
            </w:r>
          </w:p>
        </w:tc>
      </w:tr>
      <w:tr>
        <w:trPr/>
        <w:tc>
          <w:tcPr>
            <w:tcW w:w="5223" w:type="dxa"/>
            <w:gridSpan w:val="3"/>
            <w:tcBorders>
              <w:top w:val="single" w:sz="4" w:space="0" w:color="000000"/>
              <w:left w:val="single" w:sz="4" w:space="0" w:color="000000"/>
              <w:bottom w:val="single" w:sz="4" w:space="0" w:color="000000"/>
              <w:right w:val="single" w:sz="4" w:space="0" w:color="000000"/>
            </w:tcBorders>
          </w:tcPr>
          <w:p>
            <w:pPr>
              <w:pStyle w:val="Normal"/>
              <w:jc w:val="center"/>
              <w:rPr>
                <w:b/>
                <w:kern w:val="2"/>
                <w:szCs w:val="24"/>
              </w:rPr>
            </w:pPr>
            <w:r>
              <w:rPr>
                <w:b/>
                <w:kern w:val="2"/>
                <w:szCs w:val="24"/>
              </w:rPr>
              <w:t>PIRKĖJAS</w:t>
            </w:r>
          </w:p>
        </w:tc>
        <w:tc>
          <w:tcPr>
            <w:tcW w:w="4307" w:type="dxa"/>
            <w:tcBorders>
              <w:top w:val="single" w:sz="4" w:space="0" w:color="000000"/>
              <w:left w:val="single" w:sz="4" w:space="0" w:color="000000"/>
              <w:bottom w:val="single" w:sz="4" w:space="0" w:color="000000"/>
              <w:right w:val="single" w:sz="4" w:space="0" w:color="000000"/>
            </w:tcBorders>
          </w:tcPr>
          <w:p>
            <w:pPr>
              <w:pStyle w:val="Normal"/>
              <w:jc w:val="center"/>
              <w:rPr>
                <w:b/>
                <w:kern w:val="2"/>
                <w:szCs w:val="24"/>
              </w:rPr>
            </w:pPr>
            <w:r>
              <w:rPr>
                <w:b/>
                <w:kern w:val="2"/>
                <w:szCs w:val="24"/>
              </w:rPr>
              <w:t>TIEKĖJAS</w:t>
            </w:r>
          </w:p>
        </w:tc>
      </w:tr>
      <w:tr>
        <w:trPr/>
        <w:tc>
          <w:tcPr>
            <w:tcW w:w="5223" w:type="dxa"/>
            <w:gridSpan w:val="3"/>
            <w:tcBorders>
              <w:top w:val="single" w:sz="4" w:space="0" w:color="000000"/>
              <w:left w:val="single" w:sz="4" w:space="0" w:color="000000"/>
              <w:bottom w:val="single" w:sz="4" w:space="0" w:color="000000"/>
              <w:right w:val="single" w:sz="4" w:space="0" w:color="000000"/>
            </w:tcBorders>
          </w:tcPr>
          <w:p>
            <w:pPr>
              <w:pStyle w:val="Normal"/>
              <w:jc w:val="center"/>
              <w:rPr>
                <w:color w:val="4472C4"/>
                <w:kern w:val="2"/>
                <w:szCs w:val="24"/>
              </w:rPr>
            </w:pPr>
            <w:r>
              <w:rPr>
                <w:color w:val="4472C4"/>
                <w:kern w:val="2"/>
                <w:szCs w:val="24"/>
              </w:rPr>
              <w:t>(nurodomos atstovo pareigos, vardas, pavardė)</w:t>
            </w:r>
          </w:p>
        </w:tc>
        <w:tc>
          <w:tcPr>
            <w:tcW w:w="4307" w:type="dxa"/>
            <w:tcBorders>
              <w:top w:val="single" w:sz="4" w:space="0" w:color="000000"/>
              <w:left w:val="single" w:sz="4" w:space="0" w:color="000000"/>
              <w:bottom w:val="single" w:sz="4" w:space="0" w:color="000000"/>
              <w:right w:val="single" w:sz="4" w:space="0" w:color="000000"/>
            </w:tcBorders>
          </w:tcPr>
          <w:p>
            <w:pPr>
              <w:pStyle w:val="Normal"/>
              <w:jc w:val="center"/>
              <w:rPr>
                <w:b/>
                <w:kern w:val="2"/>
                <w:szCs w:val="24"/>
              </w:rPr>
            </w:pPr>
            <w:r>
              <w:rPr>
                <w:color w:val="4472C4"/>
                <w:kern w:val="2"/>
                <w:szCs w:val="24"/>
              </w:rPr>
              <w:t>(nurodomos atstovo pareigos, vardas, pavardė)</w:t>
            </w:r>
          </w:p>
        </w:tc>
      </w:tr>
      <w:tr>
        <w:trPr/>
        <w:tc>
          <w:tcPr>
            <w:tcW w:w="5223" w:type="dxa"/>
            <w:gridSpan w:val="3"/>
            <w:tcBorders>
              <w:top w:val="single" w:sz="4" w:space="0" w:color="000000"/>
              <w:left w:val="single" w:sz="4" w:space="0" w:color="000000"/>
              <w:bottom w:val="single" w:sz="4" w:space="0" w:color="000000"/>
              <w:right w:val="single" w:sz="4" w:space="0" w:color="000000"/>
            </w:tcBorders>
          </w:tcPr>
          <w:p>
            <w:pPr>
              <w:pStyle w:val="Normal"/>
              <w:jc w:val="center"/>
              <w:rPr>
                <w:b/>
                <w:color w:val="4472C4"/>
                <w:kern w:val="2"/>
                <w:szCs w:val="24"/>
              </w:rPr>
            </w:pPr>
            <w:r>
              <w:rPr>
                <w:b/>
                <w:color w:val="4472C4"/>
                <w:kern w:val="2"/>
                <w:szCs w:val="24"/>
              </w:rPr>
            </w:r>
          </w:p>
          <w:p>
            <w:pPr>
              <w:pStyle w:val="Normal"/>
              <w:jc w:val="center"/>
              <w:rPr>
                <w:b/>
                <w:color w:val="4472C4"/>
                <w:kern w:val="2"/>
                <w:szCs w:val="24"/>
              </w:rPr>
            </w:pPr>
            <w:r>
              <w:rPr>
                <w:b/>
                <w:color w:val="4472C4"/>
                <w:kern w:val="2"/>
                <w:szCs w:val="24"/>
              </w:rPr>
              <w:t>(parašas)</w:t>
            </w:r>
          </w:p>
          <w:p>
            <w:pPr>
              <w:pStyle w:val="Normal"/>
              <w:jc w:val="center"/>
              <w:rPr>
                <w:b/>
                <w:color w:val="4472C4"/>
                <w:kern w:val="2"/>
                <w:szCs w:val="24"/>
              </w:rPr>
            </w:pPr>
            <w:r>
              <w:rPr>
                <w:b/>
                <w:color w:val="4472C4"/>
                <w:kern w:val="2"/>
                <w:szCs w:val="24"/>
              </w:rPr>
            </w:r>
          </w:p>
          <w:p>
            <w:pPr>
              <w:pStyle w:val="Normal"/>
              <w:jc w:val="center"/>
              <w:rPr>
                <w:b/>
                <w:color w:val="4472C4"/>
                <w:kern w:val="2"/>
                <w:szCs w:val="24"/>
              </w:rPr>
            </w:pPr>
            <w:r>
              <w:rPr>
                <w:b/>
                <w:color w:val="4472C4"/>
                <w:kern w:val="2"/>
                <w:szCs w:val="24"/>
              </w:rPr>
            </w:r>
          </w:p>
        </w:tc>
        <w:tc>
          <w:tcPr>
            <w:tcW w:w="4307" w:type="dxa"/>
            <w:tcBorders>
              <w:top w:val="single" w:sz="4" w:space="0" w:color="000000"/>
              <w:left w:val="single" w:sz="4" w:space="0" w:color="000000"/>
              <w:bottom w:val="single" w:sz="4" w:space="0" w:color="000000"/>
              <w:right w:val="single" w:sz="4" w:space="0" w:color="000000"/>
            </w:tcBorders>
          </w:tcPr>
          <w:p>
            <w:pPr>
              <w:pStyle w:val="Normal"/>
              <w:jc w:val="center"/>
              <w:rPr>
                <w:b/>
                <w:color w:val="4472C4"/>
                <w:kern w:val="2"/>
                <w:szCs w:val="24"/>
              </w:rPr>
            </w:pPr>
            <w:r>
              <w:rPr>
                <w:b/>
                <w:color w:val="4472C4"/>
                <w:kern w:val="2"/>
                <w:szCs w:val="24"/>
              </w:rPr>
            </w:r>
          </w:p>
          <w:p>
            <w:pPr>
              <w:pStyle w:val="Normal"/>
              <w:jc w:val="center"/>
              <w:rPr>
                <w:b/>
                <w:color w:val="4472C4"/>
                <w:kern w:val="2"/>
                <w:szCs w:val="24"/>
              </w:rPr>
            </w:pPr>
            <w:r>
              <w:rPr>
                <w:b/>
                <w:color w:val="4472C4"/>
                <w:kern w:val="2"/>
                <w:szCs w:val="24"/>
              </w:rPr>
              <w:t>(parašas)</w:t>
            </w:r>
          </w:p>
        </w:tc>
      </w:tr>
    </w:tbl>
    <w:p>
      <w:pPr>
        <w:pStyle w:val="Normal"/>
        <w:rPr>
          <w:szCs w:val="24"/>
        </w:rPr>
      </w:pPr>
      <w:r>
        <w:rPr>
          <w:szCs w:val="24"/>
        </w:rPr>
      </w:r>
    </w:p>
    <w:p>
      <w:pPr>
        <w:pStyle w:val="Normal"/>
        <w:rPr>
          <w:szCs w:val="24"/>
        </w:rPr>
      </w:pPr>
      <w:r>
        <w:rPr>
          <w:szCs w:val="24"/>
        </w:rPr>
      </w:r>
    </w:p>
    <w:p>
      <w:pPr>
        <w:pStyle w:val="Normal"/>
        <w:tabs>
          <w:tab w:val="clear" w:pos="1296"/>
          <w:tab w:val="left" w:pos="5400" w:leader="none"/>
        </w:tabs>
        <w:jc w:val="center"/>
        <w:textAlignment w:val="center"/>
        <w:rPr/>
      </w:pPr>
      <w:r>
        <w:rPr>
          <w:b/>
          <w:bCs/>
        </w:rPr>
        <w:t>______________</w:t>
      </w:r>
    </w:p>
    <w:sectPr>
      <w:headerReference w:type="even" r:id="rId3"/>
      <w:headerReference w:type="default" r:id="rId4"/>
      <w:headerReference w:type="first" r:id="rId5"/>
      <w:footerReference w:type="even" r:id="rId6"/>
      <w:footerReference w:type="default" r:id="rId7"/>
      <w:footerReference w:type="first" r:id="rId8"/>
      <w:type w:val="nextPage"/>
      <w:pgSz w:w="12240" w:h="15840"/>
      <w:pgMar w:left="1701" w:right="567" w:gutter="0" w:header="720" w:top="1134" w:footer="720" w:bottom="1134"/>
      <w:pgNumType w:start="1" w:fmt="decimal"/>
      <w:formProt w:val="false"/>
      <w:titlePg/>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Liberation Sans">
    <w:altName w:val="Arial"/>
    <w:charset w:val="00"/>
    <w:family w:val="roman"/>
    <w:pitch w:val="variable"/>
  </w:font>
  <w:font w:name="Arial">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tabs>
        <w:tab w:val="clear" w:pos="1296"/>
        <w:tab w:val="center" w:pos="4680" w:leader="none"/>
        <w:tab w:val="right" w:pos="9360" w:leader="none"/>
      </w:tabs>
      <w:rPr/>
    </w:pPr>
    <w:r>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tabs>
        <w:tab w:val="clear" w:pos="1296"/>
        <w:tab w:val="center" w:pos="4680" w:leader="none"/>
        <w:tab w:val="right" w:pos="9360" w:leader="none"/>
      </w:tabs>
      <w:jc w:val="center"/>
      <w:rPr>
        <w:rFonts w:ascii="Arial" w:hAnsi="Arial" w:eastAsia="Arial" w:cs="Arial"/>
        <w:sz w:val="18"/>
        <w:szCs w:val="18"/>
      </w:rPr>
    </w:pPr>
    <w:r>
      <w:rPr>
        <w:rFonts w:eastAsia="Arial" w:cs="Arial" w:ascii="Arial" w:hAnsi="Arial"/>
        <w:sz w:val="18"/>
        <w:szCs w:val="18"/>
      </w:rPr>
      <w:fldChar w:fldCharType="begin"/>
    </w:r>
    <w:r>
      <w:rPr>
        <w:sz w:val="18"/>
        <w:szCs w:val="18"/>
        <w:rFonts w:eastAsia="Arial" w:cs="Arial" w:ascii="Arial" w:hAnsi="Arial"/>
      </w:rPr>
      <w:instrText xml:space="preserve"> PAGE </w:instrText>
    </w:r>
    <w:r>
      <w:rPr>
        <w:sz w:val="18"/>
        <w:szCs w:val="18"/>
        <w:rFonts w:eastAsia="Arial" w:cs="Arial" w:ascii="Arial" w:hAnsi="Arial"/>
      </w:rPr>
      <w:fldChar w:fldCharType="separate"/>
    </w:r>
    <w:r>
      <w:rPr>
        <w:sz w:val="18"/>
        <w:szCs w:val="18"/>
        <w:rFonts w:eastAsia="Arial" w:cs="Arial" w:ascii="Arial" w:hAnsi="Arial"/>
      </w:rPr>
      <w:t>10</w:t>
    </w:r>
    <w:r>
      <w:rPr>
        <w:sz w:val="18"/>
        <w:szCs w:val="18"/>
        <w:rFonts w:eastAsia="Arial" w:cs="Arial" w:ascii="Arial" w:hAnsi="Arial"/>
      </w:rPr>
      <w:fldChar w:fldCharType="end"/>
    </w:r>
  </w:p>
  <w:p>
    <w:pPr>
      <w:pStyle w:val="Normal"/>
      <w:tabs>
        <w:tab w:val="clear" w:pos="1296"/>
        <w:tab w:val="center" w:pos="4680" w:leader="none"/>
        <w:tab w:val="right" w:pos="9360" w:leader="none"/>
      </w:tabs>
      <w:jc w:val="both"/>
      <w:rPr>
        <w:rFonts w:ascii="Arial" w:hAnsi="Arial" w:eastAsia="Arial" w:cs="Arial"/>
        <w:sz w:val="18"/>
        <w:szCs w:val="18"/>
      </w:rPr>
    </w:pPr>
    <w:r>
      <w:rPr>
        <w:rFonts w:eastAsia="Arial" w:cs="Arial" w:ascii="Arial" w:hAnsi="Arial"/>
        <w:sz w:val="18"/>
        <w:szCs w:val="18"/>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settings.xml><?xml version="1.0" encoding="utf-8"?>
<w:settings xmlns:w="http://schemas.openxmlformats.org/wordprocessingml/2006/main">
  <w:zoom w:percent="161"/>
  <w:defaultTabStop w:val="1296"/>
  <w:autoHyphenation w:val="true"/>
  <w:doNotHyphenateCaps/>
  <w:hyphenationZone w:val="396"/>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en-US" w:eastAsia="lt-LT" w:bidi="ar-SA"/>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sz w:val="24"/>
        <w:lang w:val="lt-LT" w:eastAsia="en-US" w:bidi="ar-SA"/>
      </w:rPr>
    </w:rPrDefault>
    <w:pPrDefault>
      <w:pPr>
        <w:suppressAutoHyphens w:val="true"/>
      </w:pPr>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pPr>
      <w:widowControl/>
      <w:suppressAutoHyphens w:val="true"/>
      <w:bidi w:val="0"/>
      <w:spacing w:before="0" w:after="0"/>
      <w:jc w:val="left"/>
    </w:pPr>
    <w:rPr>
      <w:rFonts w:ascii="Times New Roman" w:hAnsi="Times New Roman" w:eastAsia="Times New Roman" w:cs="Times New Roman"/>
      <w:color w:val="auto"/>
      <w:kern w:val="0"/>
      <w:sz w:val="24"/>
      <w:szCs w:val="20"/>
      <w:lang w:val="lt-LT" w:eastAsia="en-US" w:bidi="ar-SA"/>
    </w:rPr>
  </w:style>
  <w:style w:type="character" w:styleId="DefaultParagraphFont" w:default="1">
    <w:name w:val="Default Paragraph Font"/>
    <w:uiPriority w:val="1"/>
    <w:semiHidden/>
    <w:unhideWhenUsed/>
    <w:qFormat/>
    <w:rPr/>
  </w:style>
  <w:style w:type="character" w:styleId="PlaceholderText">
    <w:name w:val="Placeholder Text"/>
    <w:basedOn w:val="DefaultParagraphFont"/>
    <w:qFormat/>
    <w:rsid w:val="00f60bd9"/>
    <w:rPr>
      <w:color w:val="808080"/>
    </w:rPr>
  </w:style>
  <w:style w:type="character" w:styleId="Galinsinaosramenys">
    <w:name w:val="Galinės išnašos rašmenys"/>
    <w:qFormat/>
    <w:rPr/>
  </w:style>
  <w:style w:type="character" w:styleId="Hyperlink">
    <w:name w:val="Hyperlink"/>
    <w:rPr>
      <w:color w:val="000080"/>
      <w:u w:val="single"/>
    </w:rPr>
  </w:style>
  <w:style w:type="paragraph" w:styleId="Antrat">
    <w:name w:val="Antraštė"/>
    <w:basedOn w:val="Normal"/>
    <w:next w:val="BodyText"/>
    <w:qFormat/>
    <w:pPr>
      <w:keepNext w:val="true"/>
      <w:spacing w:before="240" w:after="120"/>
    </w:pPr>
    <w:rPr>
      <w:rFonts w:ascii="Liberation Sans" w:hAnsi="Liberation Sans" w:eastAsia="Microsoft YaHei" w:cs="Lucida San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Rodykl">
    <w:name w:val="Rodyklė"/>
    <w:basedOn w:val="Normal"/>
    <w:qFormat/>
    <w:pPr>
      <w:suppressLineNumbers/>
    </w:pPr>
    <w:rPr>
      <w:rFonts w:cs="Lucida Sans"/>
    </w:rPr>
  </w:style>
  <w:style w:type="paragraph" w:styleId="Puslapinantratirporat">
    <w:name w:val="Puslapinė antraštė ir poraštė"/>
    <w:basedOn w:val="Normal"/>
    <w:qFormat/>
    <w:pPr/>
    <w:rPr/>
  </w:style>
  <w:style w:type="paragraph" w:styleId="Header">
    <w:name w:val="Header"/>
    <w:basedOn w:val="Puslapinantratirporat"/>
    <w:pPr/>
    <w:rPr/>
  </w:style>
  <w:style w:type="paragraph" w:styleId="Footer">
    <w:name w:val="Footer"/>
    <w:basedOn w:val="Puslapinantratirporat"/>
    <w:pPr/>
    <w:rPr/>
  </w:style>
  <w:style w:type="paragraph" w:styleId="ListParagraph">
    <w:name w:val="List Paragraph"/>
    <w:basedOn w:val="Normal"/>
    <w:qFormat/>
    <w:pPr>
      <w:spacing w:before="0" w:after="0"/>
      <w:ind w:left="720"/>
      <w:contextualSpacing/>
    </w:pPr>
    <w:rPr/>
  </w:style>
  <w:style w:type="numbering" w:styleId="NoList" w:default="1">
    <w:name w:val="No List"/>
    <w:uiPriority w:val="99"/>
    <w:semiHidden/>
    <w:unhideWhenUsed/>
    <w:qFormat/>
  </w:style>
  <w:style w:type="table" w:default="1" w:styleId="Table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mailto:edita.jakimaviciute@prienai.lt" TargetMode="External"/><Relationship Id="rId3" Type="http://schemas.openxmlformats.org/officeDocument/2006/relationships/header" Target="header1.xml"/><Relationship Id="rId4" Type="http://schemas.openxmlformats.org/officeDocument/2006/relationships/header" Target="header2.xml"/><Relationship Id="rId5" Type="http://schemas.openxmlformats.org/officeDocument/2006/relationships/header" Target="header3.xml"/><Relationship Id="rId6" Type="http://schemas.openxmlformats.org/officeDocument/2006/relationships/footer" Target="footer1.xml"/><Relationship Id="rId7" Type="http://schemas.openxmlformats.org/officeDocument/2006/relationships/footer" Target="footer2.xml"/><Relationship Id="rId8" Type="http://schemas.openxmlformats.org/officeDocument/2006/relationships/footer" Target="footer3.xml"/><Relationship Id="rId9" Type="http://schemas.openxmlformats.org/officeDocument/2006/relationships/fontTable" Target="fontTable.xml"/><Relationship Id="rId10" Type="http://schemas.openxmlformats.org/officeDocument/2006/relationships/settings" Target="settings.xml"/><Relationship Id="rId11" Type="http://schemas.openxmlformats.org/officeDocument/2006/relationships/theme" Target="theme/theme1.xml"/><Relationship Id="rId12" Type="http://schemas.openxmlformats.org/officeDocument/2006/relationships/customXml" Target="../customXml/item1.xml"/><Relationship Id="rId13" Type="http://schemas.openxmlformats.org/officeDocument/2006/relationships/customXml" Target="../customXml/item2.xml"/><Relationship Id="rId14" Type="http://schemas.openxmlformats.org/officeDocument/2006/relationships/customXml" Target="../customXml/item3.xml"/><Relationship Id="rId15" Type="http://schemas.openxmlformats.org/officeDocument/2006/relationships/customXml" Target="../customXml/item4.xml"/>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b:Sources xmlns:b="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6146C255-7BDC-47A6-BBD0-E2F77ED82418}"/>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432</TotalTime>
  <Application>LibreOffice/24.2.0.3$Windows_X86_64 LibreOffice_project/da48488a73ddd66ea24cf16bbc4f7b9c08e9bea1</Application>
  <AppVersion>15.0000</AppVersion>
  <Pages>10</Pages>
  <Words>2344</Words>
  <Characters>16378</Characters>
  <CharactersWithSpaces>18520</CharactersWithSpaces>
  <Paragraphs>218</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2025-01-10T07:10:00Z</dcterms:created>
  <dc:creator>Rasa Politikienė</dc:creator>
  <dc:description/>
  <dc:language>lt-LT</dc:language>
  <cp:lastModifiedBy/>
  <cp:lastPrinted>2017-06-29T23:42:00Z</cp:lastPrinted>
  <dcterms:modified xsi:type="dcterms:W3CDTF">2025-07-31T16:50:48Z</dcterms:modified>
  <cp:revision>14</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